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39CAF" w14:textId="77777777" w:rsidR="00B80012" w:rsidRDefault="00B655DD" w:rsidP="00B655DD">
      <w:pPr>
        <w:pStyle w:val="Heading1"/>
      </w:pPr>
      <w:bookmarkStart w:id="0" w:name="_GoBack"/>
      <w:bookmarkEnd w:id="0"/>
      <w:r>
        <w:t xml:space="preserve">PBIS Tier II Interventions                                                       </w:t>
      </w:r>
      <w:r w:rsidR="00AD2F93">
        <w:rPr>
          <w:noProof/>
        </w:rPr>
        <w:drawing>
          <wp:inline distT="0" distB="0" distL="0" distR="0" wp14:anchorId="5AB135FC" wp14:editId="5B70ECEC">
            <wp:extent cx="1144525" cy="7882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O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5151" cy="788694"/>
                    </a:xfrm>
                    <a:prstGeom prst="rect">
                      <a:avLst/>
                    </a:prstGeom>
                  </pic:spPr>
                </pic:pic>
              </a:graphicData>
            </a:graphic>
          </wp:inline>
        </w:drawing>
      </w:r>
      <w:r>
        <w:t xml:space="preserve">                                                                        </w:t>
      </w:r>
    </w:p>
    <w:p w14:paraId="723EE94C" w14:textId="77777777" w:rsidR="00B655DD" w:rsidRDefault="00B655DD" w:rsidP="00B655DD"/>
    <w:tbl>
      <w:tblPr>
        <w:tblStyle w:val="TableGrid"/>
        <w:tblW w:w="14328" w:type="dxa"/>
        <w:tblLayout w:type="fixed"/>
        <w:tblLook w:val="04A0" w:firstRow="1" w:lastRow="0" w:firstColumn="1" w:lastColumn="0" w:noHBand="0" w:noVBand="1"/>
      </w:tblPr>
      <w:tblGrid>
        <w:gridCol w:w="2358"/>
        <w:gridCol w:w="2070"/>
        <w:gridCol w:w="8100"/>
        <w:gridCol w:w="1800"/>
      </w:tblGrid>
      <w:tr w:rsidR="00D623B3" w14:paraId="503183AB" w14:textId="77777777" w:rsidTr="001F0598">
        <w:tc>
          <w:tcPr>
            <w:tcW w:w="2358" w:type="dxa"/>
            <w:shd w:val="clear" w:color="auto" w:fill="F2F2F2" w:themeFill="background1" w:themeFillShade="F2"/>
          </w:tcPr>
          <w:p w14:paraId="7288EF09" w14:textId="77777777" w:rsidR="00D623B3" w:rsidRPr="00AD2F93" w:rsidRDefault="00D623B3" w:rsidP="00B655DD">
            <w:pPr>
              <w:rPr>
                <w:b/>
                <w:sz w:val="24"/>
                <w:szCs w:val="24"/>
              </w:rPr>
            </w:pPr>
            <w:r w:rsidRPr="00AD2F93">
              <w:rPr>
                <w:b/>
                <w:sz w:val="24"/>
                <w:szCs w:val="24"/>
              </w:rPr>
              <w:t>Tier II Intervention</w:t>
            </w:r>
          </w:p>
        </w:tc>
        <w:tc>
          <w:tcPr>
            <w:tcW w:w="2070" w:type="dxa"/>
            <w:shd w:val="clear" w:color="auto" w:fill="F2F2F2" w:themeFill="background1" w:themeFillShade="F2"/>
          </w:tcPr>
          <w:p w14:paraId="0A4711CD" w14:textId="77777777" w:rsidR="00D623B3" w:rsidRPr="00AD2F93" w:rsidRDefault="00D623B3" w:rsidP="00B655DD">
            <w:pPr>
              <w:rPr>
                <w:b/>
                <w:sz w:val="24"/>
                <w:szCs w:val="24"/>
              </w:rPr>
            </w:pPr>
            <w:r w:rsidRPr="00AD2F93">
              <w:rPr>
                <w:b/>
                <w:sz w:val="24"/>
                <w:szCs w:val="24"/>
              </w:rPr>
              <w:t>Grade Level</w:t>
            </w:r>
          </w:p>
        </w:tc>
        <w:tc>
          <w:tcPr>
            <w:tcW w:w="8100" w:type="dxa"/>
            <w:shd w:val="clear" w:color="auto" w:fill="F2F2F2" w:themeFill="background1" w:themeFillShade="F2"/>
          </w:tcPr>
          <w:p w14:paraId="63829DBE" w14:textId="77777777" w:rsidR="00D623B3" w:rsidRPr="00AD2F93" w:rsidRDefault="00D623B3" w:rsidP="00B655DD">
            <w:pPr>
              <w:rPr>
                <w:b/>
                <w:sz w:val="24"/>
                <w:szCs w:val="24"/>
              </w:rPr>
            </w:pPr>
            <w:r w:rsidRPr="00AD2F93">
              <w:rPr>
                <w:b/>
                <w:sz w:val="24"/>
                <w:szCs w:val="24"/>
              </w:rPr>
              <w:t>Purpose</w:t>
            </w:r>
          </w:p>
        </w:tc>
        <w:tc>
          <w:tcPr>
            <w:tcW w:w="1800" w:type="dxa"/>
            <w:shd w:val="clear" w:color="auto" w:fill="F2F2F2" w:themeFill="background1" w:themeFillShade="F2"/>
          </w:tcPr>
          <w:p w14:paraId="24EA6BAD" w14:textId="77777777" w:rsidR="00D623B3" w:rsidRPr="00AD2F93" w:rsidRDefault="00986D7B" w:rsidP="00B655DD">
            <w:pPr>
              <w:rPr>
                <w:b/>
                <w:sz w:val="24"/>
                <w:szCs w:val="24"/>
              </w:rPr>
            </w:pPr>
            <w:r w:rsidRPr="00AD2F93">
              <w:rPr>
                <w:b/>
                <w:sz w:val="24"/>
                <w:szCs w:val="24"/>
              </w:rPr>
              <w:t>Community Provider available</w:t>
            </w:r>
          </w:p>
        </w:tc>
      </w:tr>
      <w:tr w:rsidR="00AD2F93" w14:paraId="794AB128" w14:textId="77777777" w:rsidTr="001F0598">
        <w:tc>
          <w:tcPr>
            <w:tcW w:w="2358" w:type="dxa"/>
          </w:tcPr>
          <w:p w14:paraId="16951D53" w14:textId="77777777" w:rsidR="00AD2F93" w:rsidRPr="00EF027F" w:rsidRDefault="00AD2F93" w:rsidP="008E32B9">
            <w:pPr>
              <w:rPr>
                <w:b/>
              </w:rPr>
            </w:pPr>
            <w:r w:rsidRPr="00EF027F">
              <w:rPr>
                <w:b/>
              </w:rPr>
              <w:t>Active Parenting Classes</w:t>
            </w:r>
          </w:p>
        </w:tc>
        <w:tc>
          <w:tcPr>
            <w:tcW w:w="2070" w:type="dxa"/>
          </w:tcPr>
          <w:p w14:paraId="7192C9B3" w14:textId="77777777" w:rsidR="00AD2F93" w:rsidRDefault="00AD2F93" w:rsidP="008E32B9">
            <w:r>
              <w:t>Parents and teens ages 12-19</w:t>
            </w:r>
          </w:p>
        </w:tc>
        <w:tc>
          <w:tcPr>
            <w:tcW w:w="8100" w:type="dxa"/>
          </w:tcPr>
          <w:p w14:paraId="2750BBFC" w14:textId="77777777" w:rsidR="00AD2F93" w:rsidRDefault="00AD2F93" w:rsidP="008E32B9">
            <w:r>
              <w:t>Parents and teens are taught the skills needed to effectively communicate with each other, and with other family members and friends.</w:t>
            </w:r>
          </w:p>
        </w:tc>
        <w:tc>
          <w:tcPr>
            <w:tcW w:w="1800" w:type="dxa"/>
          </w:tcPr>
          <w:p w14:paraId="5F487202" w14:textId="77777777" w:rsidR="00AD2F93" w:rsidRDefault="00AD2F93" w:rsidP="008E32B9">
            <w:r>
              <w:t>Kids First</w:t>
            </w:r>
          </w:p>
        </w:tc>
      </w:tr>
      <w:tr w:rsidR="00AD2F93" w14:paraId="062C47C0" w14:textId="77777777" w:rsidTr="001F0598">
        <w:tc>
          <w:tcPr>
            <w:tcW w:w="2358" w:type="dxa"/>
          </w:tcPr>
          <w:p w14:paraId="417B4417" w14:textId="77777777" w:rsidR="00AD2F93" w:rsidRPr="00EF027F" w:rsidRDefault="00AD2F93" w:rsidP="00B655DD">
            <w:pPr>
              <w:rPr>
                <w:b/>
              </w:rPr>
            </w:pPr>
            <w:r w:rsidRPr="00EF027F">
              <w:rPr>
                <w:b/>
              </w:rPr>
              <w:t>Check In Check Out</w:t>
            </w:r>
          </w:p>
        </w:tc>
        <w:tc>
          <w:tcPr>
            <w:tcW w:w="2070" w:type="dxa"/>
          </w:tcPr>
          <w:p w14:paraId="30F00A3C" w14:textId="77777777" w:rsidR="00AD2F93" w:rsidRDefault="00AD2F93" w:rsidP="00B655DD">
            <w:r>
              <w:t>Pre K- Grade 12</w:t>
            </w:r>
          </w:p>
        </w:tc>
        <w:tc>
          <w:tcPr>
            <w:tcW w:w="8100" w:type="dxa"/>
          </w:tcPr>
          <w:p w14:paraId="03C57E83" w14:textId="77777777" w:rsidR="00AD2F93" w:rsidRDefault="00AD2F93" w:rsidP="00B655DD">
            <w:r>
              <w:t>Provides students with more frequent adult attention and feedback throughout the day. Students are acknowledged for meeting the school-wide expectations in each class or time period. Students are taught and acknowledged for appropriate behavior.</w:t>
            </w:r>
          </w:p>
        </w:tc>
        <w:tc>
          <w:tcPr>
            <w:tcW w:w="1800" w:type="dxa"/>
          </w:tcPr>
          <w:p w14:paraId="4A930B7B" w14:textId="77777777" w:rsidR="00AD2F93" w:rsidRDefault="00AD2F93" w:rsidP="00986D7B">
            <w:pPr>
              <w:ind w:left="3564" w:hanging="3564"/>
            </w:pPr>
          </w:p>
        </w:tc>
      </w:tr>
      <w:tr w:rsidR="00AD2F93" w14:paraId="15275CC8" w14:textId="77777777" w:rsidTr="001F0598">
        <w:tc>
          <w:tcPr>
            <w:tcW w:w="2358" w:type="dxa"/>
          </w:tcPr>
          <w:p w14:paraId="6BC950F6" w14:textId="77777777" w:rsidR="00AD2F93" w:rsidRPr="00EF027F" w:rsidRDefault="00AD2F93" w:rsidP="008E32B9">
            <w:pPr>
              <w:rPr>
                <w:b/>
              </w:rPr>
            </w:pPr>
            <w:r w:rsidRPr="00EF027F">
              <w:rPr>
                <w:b/>
              </w:rPr>
              <w:t>Dinosaur School</w:t>
            </w:r>
          </w:p>
        </w:tc>
        <w:tc>
          <w:tcPr>
            <w:tcW w:w="2070" w:type="dxa"/>
          </w:tcPr>
          <w:p w14:paraId="2533E0C2" w14:textId="77777777" w:rsidR="00AD2F93" w:rsidRDefault="00AD2F93" w:rsidP="008E32B9">
            <w:r>
              <w:t>Ages 5-8</w:t>
            </w:r>
          </w:p>
        </w:tc>
        <w:tc>
          <w:tcPr>
            <w:tcW w:w="8100" w:type="dxa"/>
          </w:tcPr>
          <w:p w14:paraId="524241D3" w14:textId="77777777" w:rsidR="00AD2F93" w:rsidRDefault="00AD2F93" w:rsidP="008E32B9">
            <w:r>
              <w:t>This is a social skills group which treats children with conduct problems, ADHD and internalizing problems.</w:t>
            </w:r>
          </w:p>
        </w:tc>
        <w:tc>
          <w:tcPr>
            <w:tcW w:w="1800" w:type="dxa"/>
          </w:tcPr>
          <w:p w14:paraId="52E42334" w14:textId="77777777" w:rsidR="00AD2F93" w:rsidRDefault="00AD2F93" w:rsidP="008E32B9">
            <w:r>
              <w:t>Kids First</w:t>
            </w:r>
          </w:p>
        </w:tc>
      </w:tr>
      <w:tr w:rsidR="00AD2F93" w14:paraId="23DADDD1" w14:textId="77777777" w:rsidTr="001F0598">
        <w:tc>
          <w:tcPr>
            <w:tcW w:w="2358" w:type="dxa"/>
          </w:tcPr>
          <w:p w14:paraId="221F24CC" w14:textId="77777777" w:rsidR="00AD2F93" w:rsidRPr="00EF027F" w:rsidRDefault="00AD2F93" w:rsidP="008E32B9">
            <w:pPr>
              <w:rPr>
                <w:b/>
              </w:rPr>
            </w:pPr>
            <w:r w:rsidRPr="00EF027F">
              <w:rPr>
                <w:b/>
              </w:rPr>
              <w:t>Incredible Years</w:t>
            </w:r>
          </w:p>
        </w:tc>
        <w:tc>
          <w:tcPr>
            <w:tcW w:w="2070" w:type="dxa"/>
          </w:tcPr>
          <w:p w14:paraId="1FD36C2B" w14:textId="77777777" w:rsidR="00AD2F93" w:rsidRDefault="00AD2F93" w:rsidP="008E32B9">
            <w:r>
              <w:t>Parents with children ages 2-12</w:t>
            </w:r>
          </w:p>
        </w:tc>
        <w:tc>
          <w:tcPr>
            <w:tcW w:w="8100" w:type="dxa"/>
          </w:tcPr>
          <w:p w14:paraId="0CE98118" w14:textId="77777777" w:rsidR="00AD2F93" w:rsidRDefault="00AD2F93" w:rsidP="008E32B9">
            <w:r>
              <w:t xml:space="preserve">Incredible Years is a class </w:t>
            </w:r>
            <w:r w:rsidRPr="00986D7B">
              <w:t xml:space="preserve">for parents with children ages 2-12. Parents learn to meet the social and emotional needs of their children. </w:t>
            </w:r>
            <w:r>
              <w:t xml:space="preserve">The classes help to strengthen parenting skills. It also </w:t>
            </w:r>
            <w:r w:rsidRPr="00986D7B">
              <w:t>fosters involvement in children’s lives to promote children’s academic, social and emotional competencies and reduce conduct problems</w:t>
            </w:r>
          </w:p>
        </w:tc>
        <w:tc>
          <w:tcPr>
            <w:tcW w:w="1800" w:type="dxa"/>
          </w:tcPr>
          <w:p w14:paraId="750A3687" w14:textId="77777777" w:rsidR="00AD2F93" w:rsidRDefault="00AD2F93" w:rsidP="008E32B9">
            <w:r>
              <w:t>Kids First</w:t>
            </w:r>
          </w:p>
        </w:tc>
      </w:tr>
      <w:tr w:rsidR="00AD2F93" w14:paraId="626238D1" w14:textId="77777777" w:rsidTr="001F0598">
        <w:tc>
          <w:tcPr>
            <w:tcW w:w="2358" w:type="dxa"/>
          </w:tcPr>
          <w:p w14:paraId="1E7C6FAC" w14:textId="77777777" w:rsidR="00AD2F93" w:rsidRPr="00EF027F" w:rsidRDefault="00AD2F93" w:rsidP="008E32B9">
            <w:pPr>
              <w:rPr>
                <w:b/>
              </w:rPr>
            </w:pPr>
            <w:r w:rsidRPr="00EF027F">
              <w:rPr>
                <w:b/>
              </w:rPr>
              <w:t>The Parent Project</w:t>
            </w:r>
          </w:p>
        </w:tc>
        <w:tc>
          <w:tcPr>
            <w:tcW w:w="2070" w:type="dxa"/>
          </w:tcPr>
          <w:p w14:paraId="26D4DDAC" w14:textId="77777777" w:rsidR="00AD2F93" w:rsidRDefault="00AD2F93" w:rsidP="008E32B9">
            <w:r>
              <w:t>Parents of adolescents</w:t>
            </w:r>
          </w:p>
        </w:tc>
        <w:tc>
          <w:tcPr>
            <w:tcW w:w="8100" w:type="dxa"/>
          </w:tcPr>
          <w:p w14:paraId="4F48CE33" w14:textId="77777777" w:rsidR="00AD2F93" w:rsidRDefault="00AD2F93" w:rsidP="008E32B9">
            <w:r>
              <w:t>Parents are taught skills to improve family relations, improve children’s grades and school attendance, recognize and prevent gang involvement and how to parent strong-willed children.</w:t>
            </w:r>
          </w:p>
        </w:tc>
        <w:tc>
          <w:tcPr>
            <w:tcW w:w="1800" w:type="dxa"/>
          </w:tcPr>
          <w:p w14:paraId="371B55A4" w14:textId="77777777" w:rsidR="00AD2F93" w:rsidRDefault="001F0598" w:rsidP="008E32B9">
            <w:r>
              <w:t>Kids First</w:t>
            </w:r>
            <w:r w:rsidR="00AD2F93">
              <w:t>(English)</w:t>
            </w:r>
          </w:p>
          <w:p w14:paraId="2EB149A0" w14:textId="77777777" w:rsidR="00AD2F93" w:rsidRDefault="00AD2F93" w:rsidP="008E32B9">
            <w:r>
              <w:t>Latino Leadership Council(Spanish)</w:t>
            </w:r>
          </w:p>
        </w:tc>
      </w:tr>
      <w:tr w:rsidR="00AD2F93" w14:paraId="633DBE70" w14:textId="77777777" w:rsidTr="001F0598">
        <w:tc>
          <w:tcPr>
            <w:tcW w:w="2358" w:type="dxa"/>
          </w:tcPr>
          <w:p w14:paraId="6D2AA4E1" w14:textId="77777777" w:rsidR="00AD2F93" w:rsidRPr="00EF027F" w:rsidRDefault="00AD2F93" w:rsidP="008E32B9">
            <w:pPr>
              <w:rPr>
                <w:b/>
              </w:rPr>
            </w:pPr>
            <w:r w:rsidRPr="00EF027F">
              <w:rPr>
                <w:b/>
              </w:rPr>
              <w:t>Prepare Curriculum</w:t>
            </w:r>
          </w:p>
          <w:p w14:paraId="18044EB7" w14:textId="77777777" w:rsidR="00AD2F93" w:rsidRPr="001F0598" w:rsidRDefault="00AD2F93" w:rsidP="008E32B9">
            <w:r w:rsidRPr="00EC66A6">
              <w:rPr>
                <w:bCs/>
              </w:rPr>
              <w:t>researchpress.com/books/818/prepare-curriculum</w:t>
            </w:r>
          </w:p>
        </w:tc>
        <w:tc>
          <w:tcPr>
            <w:tcW w:w="2070" w:type="dxa"/>
          </w:tcPr>
          <w:p w14:paraId="784C896F" w14:textId="77777777" w:rsidR="00AD2F93" w:rsidRDefault="00AD2F93" w:rsidP="008E32B9">
            <w:r>
              <w:t>Grades 6-12</w:t>
            </w:r>
          </w:p>
          <w:p w14:paraId="2B41680D" w14:textId="77777777" w:rsidR="00AD2F93" w:rsidRPr="00EC66A6" w:rsidRDefault="00AD2F93" w:rsidP="008E32B9"/>
        </w:tc>
        <w:tc>
          <w:tcPr>
            <w:tcW w:w="8100" w:type="dxa"/>
          </w:tcPr>
          <w:p w14:paraId="074196F7" w14:textId="77777777" w:rsidR="00AD2F93" w:rsidRDefault="00AD2F93" w:rsidP="008E32B9">
            <w:r>
              <w:t>The Prepare Curriculum presents a series of 10 course length interventions grouped into three areas:  Reducing aggression, reducing stress and reducing prejudice.</w:t>
            </w:r>
          </w:p>
        </w:tc>
        <w:tc>
          <w:tcPr>
            <w:tcW w:w="1800" w:type="dxa"/>
          </w:tcPr>
          <w:p w14:paraId="7A4925D8" w14:textId="77777777" w:rsidR="00AD2F93" w:rsidRDefault="00AD2F93" w:rsidP="008E32B9"/>
        </w:tc>
      </w:tr>
      <w:tr w:rsidR="00AD2F93" w14:paraId="3DB5AF80" w14:textId="77777777" w:rsidTr="001F0598">
        <w:tc>
          <w:tcPr>
            <w:tcW w:w="2358" w:type="dxa"/>
          </w:tcPr>
          <w:p w14:paraId="52BFA8FA" w14:textId="77777777" w:rsidR="00AD2F93" w:rsidRPr="00EF027F" w:rsidRDefault="00AD2F93" w:rsidP="008E32B9">
            <w:pPr>
              <w:rPr>
                <w:b/>
              </w:rPr>
            </w:pPr>
            <w:r w:rsidRPr="00EF027F">
              <w:rPr>
                <w:b/>
              </w:rPr>
              <w:t>School Connect</w:t>
            </w:r>
          </w:p>
          <w:p w14:paraId="1DC253F1" w14:textId="77777777" w:rsidR="00AD2F93" w:rsidRPr="001F0598" w:rsidRDefault="00D94486" w:rsidP="008E32B9">
            <w:pPr>
              <w:rPr>
                <w:bCs/>
              </w:rPr>
            </w:pPr>
            <w:hyperlink r:id="rId8" w:history="1">
              <w:r w:rsidR="00AD2F93" w:rsidRPr="00EC66A6">
                <w:rPr>
                  <w:rStyle w:val="Hyperlink"/>
                  <w:bCs/>
                  <w:color w:val="auto"/>
                  <w:u w:val="none"/>
                </w:rPr>
                <w:t>school-connect.net/about-us.html</w:t>
              </w:r>
            </w:hyperlink>
          </w:p>
        </w:tc>
        <w:tc>
          <w:tcPr>
            <w:tcW w:w="2070" w:type="dxa"/>
          </w:tcPr>
          <w:p w14:paraId="431B0537" w14:textId="77777777" w:rsidR="00AD2F93" w:rsidRDefault="00AD2F93" w:rsidP="008E32B9">
            <w:r>
              <w:t>Grades 9-12</w:t>
            </w:r>
          </w:p>
        </w:tc>
        <w:tc>
          <w:tcPr>
            <w:tcW w:w="8100" w:type="dxa"/>
          </w:tcPr>
          <w:p w14:paraId="7EA3DF73" w14:textId="77777777" w:rsidR="00AD2F93" w:rsidRDefault="00AD2F93" w:rsidP="008E32B9">
            <w:r>
              <w:t>School-Connect seeks to foster academic engagement, enhance social and emotional competencies, reduce risk behaviors and facilitate supportive relationships within high school communities.</w:t>
            </w:r>
          </w:p>
        </w:tc>
        <w:tc>
          <w:tcPr>
            <w:tcW w:w="1800" w:type="dxa"/>
          </w:tcPr>
          <w:p w14:paraId="6FC04220" w14:textId="77777777" w:rsidR="00AD2F93" w:rsidRDefault="00AD2F93" w:rsidP="008E32B9"/>
        </w:tc>
      </w:tr>
      <w:tr w:rsidR="00AD2F93" w14:paraId="7ABE28BC" w14:textId="77777777" w:rsidTr="001F0598">
        <w:tc>
          <w:tcPr>
            <w:tcW w:w="2358" w:type="dxa"/>
          </w:tcPr>
          <w:p w14:paraId="7E1A8E4C" w14:textId="77777777" w:rsidR="00AD2F93" w:rsidRPr="00EF027F" w:rsidRDefault="00AD2F93" w:rsidP="00B655DD">
            <w:pPr>
              <w:rPr>
                <w:b/>
              </w:rPr>
            </w:pPr>
            <w:r w:rsidRPr="00EF027F">
              <w:rPr>
                <w:b/>
              </w:rPr>
              <w:t>Second Step</w:t>
            </w:r>
          </w:p>
          <w:p w14:paraId="5BD200C7" w14:textId="77777777" w:rsidR="00AD2F93" w:rsidRPr="00EF027F" w:rsidRDefault="00AD2F93" w:rsidP="00B655DD">
            <w:pPr>
              <w:rPr>
                <w:b/>
              </w:rPr>
            </w:pPr>
            <w:r w:rsidRPr="00EF027F">
              <w:rPr>
                <w:b/>
              </w:rPr>
              <w:t>Committee for Children</w:t>
            </w:r>
          </w:p>
          <w:p w14:paraId="2274C636" w14:textId="77777777" w:rsidR="00AD2F93" w:rsidRPr="00EC66A6" w:rsidRDefault="00AD2F93" w:rsidP="00B655DD">
            <w:r w:rsidRPr="00EC66A6">
              <w:t>www.cfchildren.org</w:t>
            </w:r>
          </w:p>
        </w:tc>
        <w:tc>
          <w:tcPr>
            <w:tcW w:w="2070" w:type="dxa"/>
          </w:tcPr>
          <w:p w14:paraId="74E4B904" w14:textId="77777777" w:rsidR="00AD2F93" w:rsidRDefault="00AD2F93" w:rsidP="00B655DD">
            <w:r>
              <w:t>TK- Grade 8</w:t>
            </w:r>
          </w:p>
        </w:tc>
        <w:tc>
          <w:tcPr>
            <w:tcW w:w="8100" w:type="dxa"/>
          </w:tcPr>
          <w:p w14:paraId="059ABF86" w14:textId="77777777" w:rsidR="00AD2F93" w:rsidRDefault="00AD2F93" w:rsidP="00B655DD">
            <w:r>
              <w:t>Second Step is a classroom based social skills program, which can also be used for small groups. The curriculum teaches social emotional skills aimed and reducing impulsive and aggressive behavior, while increasing social competence.</w:t>
            </w:r>
          </w:p>
        </w:tc>
        <w:tc>
          <w:tcPr>
            <w:tcW w:w="1800" w:type="dxa"/>
          </w:tcPr>
          <w:p w14:paraId="1CB22EE8" w14:textId="77777777" w:rsidR="00AD2F93" w:rsidRDefault="00AD2F93" w:rsidP="00B655DD"/>
        </w:tc>
      </w:tr>
      <w:tr w:rsidR="00AD2F93" w14:paraId="3895A4C0" w14:textId="77777777" w:rsidTr="001F0598">
        <w:tc>
          <w:tcPr>
            <w:tcW w:w="2358" w:type="dxa"/>
          </w:tcPr>
          <w:p w14:paraId="6C2DA5D0" w14:textId="77777777" w:rsidR="00AD2F93" w:rsidRPr="00EF027F" w:rsidRDefault="00AD2F93" w:rsidP="008E32B9">
            <w:pPr>
              <w:rPr>
                <w:b/>
              </w:rPr>
            </w:pPr>
            <w:r w:rsidRPr="00EF027F">
              <w:rPr>
                <w:b/>
              </w:rPr>
              <w:lastRenderedPageBreak/>
              <w:t>Strong Kids</w:t>
            </w:r>
          </w:p>
          <w:p w14:paraId="2E3EFD99" w14:textId="77777777" w:rsidR="00AD2F93" w:rsidRPr="001F0598" w:rsidRDefault="00AD2F93" w:rsidP="008E32B9">
            <w:r w:rsidRPr="00EC66A6">
              <w:rPr>
                <w:bCs/>
              </w:rPr>
              <w:t>strongkids.uoregon.edu/strongkids.html</w:t>
            </w:r>
          </w:p>
        </w:tc>
        <w:tc>
          <w:tcPr>
            <w:tcW w:w="2070" w:type="dxa"/>
          </w:tcPr>
          <w:p w14:paraId="419392C0" w14:textId="77777777" w:rsidR="00AD2F93" w:rsidRDefault="00AD2F93" w:rsidP="008E32B9">
            <w:r>
              <w:t>Grades 3-5</w:t>
            </w:r>
          </w:p>
          <w:p w14:paraId="5571A41E" w14:textId="77777777" w:rsidR="00AD2F93" w:rsidRDefault="00AD2F93" w:rsidP="008E32B9">
            <w:r>
              <w:t>Grades 6-8</w:t>
            </w:r>
          </w:p>
        </w:tc>
        <w:tc>
          <w:tcPr>
            <w:tcW w:w="8100" w:type="dxa"/>
          </w:tcPr>
          <w:p w14:paraId="03B200F9" w14:textId="77777777" w:rsidR="00AD2F93" w:rsidRDefault="00AD2F93" w:rsidP="008E32B9">
            <w:r>
              <w:t xml:space="preserve">The Strong Kids programs are brief and practical social emotional learning </w:t>
            </w:r>
            <w:proofErr w:type="spellStart"/>
            <w:r>
              <w:t>curricla</w:t>
            </w:r>
            <w:proofErr w:type="spellEnd"/>
            <w:r>
              <w:t xml:space="preserve"> designed to teach social and emotional skills, promote resilience, strengthen assets and increase coping skills.</w:t>
            </w:r>
          </w:p>
        </w:tc>
        <w:tc>
          <w:tcPr>
            <w:tcW w:w="1800" w:type="dxa"/>
          </w:tcPr>
          <w:p w14:paraId="5EDBFD6A" w14:textId="77777777" w:rsidR="00AD2F93" w:rsidRDefault="00AD2F93" w:rsidP="008E32B9"/>
        </w:tc>
      </w:tr>
      <w:tr w:rsidR="00AD2F93" w14:paraId="413FE453" w14:textId="77777777" w:rsidTr="001F0598">
        <w:tc>
          <w:tcPr>
            <w:tcW w:w="2358" w:type="dxa"/>
          </w:tcPr>
          <w:p w14:paraId="5FDE1A09" w14:textId="77777777" w:rsidR="00AD2F93" w:rsidRPr="00EF027F" w:rsidRDefault="00AD2F93" w:rsidP="00B655DD">
            <w:pPr>
              <w:rPr>
                <w:b/>
              </w:rPr>
            </w:pPr>
            <w:r w:rsidRPr="00EF027F">
              <w:rPr>
                <w:b/>
              </w:rPr>
              <w:t>Strong Start</w:t>
            </w:r>
          </w:p>
          <w:p w14:paraId="6699C5A0" w14:textId="77777777" w:rsidR="00AD2F93" w:rsidRPr="001F0598" w:rsidRDefault="00AD2F93" w:rsidP="00B655DD">
            <w:r w:rsidRPr="00EC66A6">
              <w:rPr>
                <w:bCs/>
              </w:rPr>
              <w:t>strongkids.uoregon.edu/strongstart.html</w:t>
            </w:r>
          </w:p>
        </w:tc>
        <w:tc>
          <w:tcPr>
            <w:tcW w:w="2070" w:type="dxa"/>
          </w:tcPr>
          <w:p w14:paraId="343F7CB8" w14:textId="77777777" w:rsidR="00AD2F93" w:rsidRDefault="00AD2F93" w:rsidP="00B655DD">
            <w:r>
              <w:t>Program 1: ages 3-5</w:t>
            </w:r>
          </w:p>
          <w:p w14:paraId="02A06069" w14:textId="77777777" w:rsidR="00AD2F93" w:rsidRDefault="00AD2F93" w:rsidP="00B655DD">
            <w:r>
              <w:t>Program 2: Grades K-2</w:t>
            </w:r>
          </w:p>
        </w:tc>
        <w:tc>
          <w:tcPr>
            <w:tcW w:w="8100" w:type="dxa"/>
          </w:tcPr>
          <w:p w14:paraId="5D9F4D25" w14:textId="77777777" w:rsidR="00AD2F93" w:rsidRDefault="00AD2F93" w:rsidP="00B655DD">
            <w:r>
              <w:t xml:space="preserve">The Strong Start curriculum is designed to promote social and emotional learning for young children.  It is both a prevention and early intervention </w:t>
            </w:r>
            <w:proofErr w:type="gramStart"/>
            <w:r>
              <w:t>program .</w:t>
            </w:r>
            <w:proofErr w:type="gramEnd"/>
          </w:p>
        </w:tc>
        <w:tc>
          <w:tcPr>
            <w:tcW w:w="1800" w:type="dxa"/>
          </w:tcPr>
          <w:p w14:paraId="435F7CB4" w14:textId="77777777" w:rsidR="00AD2F93" w:rsidRDefault="00AD2F93" w:rsidP="00B655DD"/>
        </w:tc>
      </w:tr>
      <w:tr w:rsidR="00AD2F93" w14:paraId="1F99CF83" w14:textId="77777777" w:rsidTr="001F0598">
        <w:tc>
          <w:tcPr>
            <w:tcW w:w="2358" w:type="dxa"/>
          </w:tcPr>
          <w:p w14:paraId="4B272350" w14:textId="77777777" w:rsidR="00AD2F93" w:rsidRPr="00EF027F" w:rsidRDefault="00AD2F93" w:rsidP="00B655DD">
            <w:pPr>
              <w:rPr>
                <w:b/>
              </w:rPr>
            </w:pPr>
            <w:r w:rsidRPr="00EF027F">
              <w:rPr>
                <w:b/>
              </w:rPr>
              <w:t>Strong Teens</w:t>
            </w:r>
          </w:p>
          <w:p w14:paraId="378281C4" w14:textId="77777777" w:rsidR="00AD2F93" w:rsidRPr="00EC66A6" w:rsidRDefault="00AD2F93" w:rsidP="00B655DD">
            <w:pPr>
              <w:rPr>
                <w:bCs/>
              </w:rPr>
            </w:pPr>
            <w:r w:rsidRPr="00EC66A6">
              <w:rPr>
                <w:bCs/>
              </w:rPr>
              <w:t>strongkids.uoregon.edu/strongteens.html</w:t>
            </w:r>
          </w:p>
        </w:tc>
        <w:tc>
          <w:tcPr>
            <w:tcW w:w="2070" w:type="dxa"/>
          </w:tcPr>
          <w:p w14:paraId="24B8FD8B" w14:textId="77777777" w:rsidR="00AD2F93" w:rsidRDefault="00AD2F93" w:rsidP="00B655DD">
            <w:r>
              <w:t>Grades 9-12</w:t>
            </w:r>
          </w:p>
        </w:tc>
        <w:tc>
          <w:tcPr>
            <w:tcW w:w="8100" w:type="dxa"/>
          </w:tcPr>
          <w:p w14:paraId="67E37FF5" w14:textId="77777777" w:rsidR="00AD2F93" w:rsidRDefault="00AD2F93" w:rsidP="00D623B3">
            <w:r>
              <w:t>The Strong Teens program is a brief and practical social emotional learning program designed to teach social and emotional skills, promote resilience, strengthen assets and increase coping skills.</w:t>
            </w:r>
          </w:p>
        </w:tc>
        <w:tc>
          <w:tcPr>
            <w:tcW w:w="1800" w:type="dxa"/>
          </w:tcPr>
          <w:p w14:paraId="1DB0B844" w14:textId="77777777" w:rsidR="00AD2F93" w:rsidRDefault="00AD2F93" w:rsidP="00D623B3"/>
        </w:tc>
      </w:tr>
      <w:tr w:rsidR="00AD2F93" w14:paraId="218B7097" w14:textId="77777777" w:rsidTr="001F0598">
        <w:tc>
          <w:tcPr>
            <w:tcW w:w="2358" w:type="dxa"/>
          </w:tcPr>
          <w:p w14:paraId="6ABAA104" w14:textId="77777777" w:rsidR="00AD2F93" w:rsidRPr="00EF027F" w:rsidRDefault="00AD2F93" w:rsidP="008E32B9">
            <w:pPr>
              <w:rPr>
                <w:b/>
              </w:rPr>
            </w:pPr>
            <w:r w:rsidRPr="00EF027F">
              <w:rPr>
                <w:b/>
              </w:rPr>
              <w:t>Student Assistance Program</w:t>
            </w:r>
          </w:p>
        </w:tc>
        <w:tc>
          <w:tcPr>
            <w:tcW w:w="2070" w:type="dxa"/>
          </w:tcPr>
          <w:p w14:paraId="14BFFAC9" w14:textId="77777777" w:rsidR="00AD2F93" w:rsidRDefault="00D75663" w:rsidP="008E32B9">
            <w:r>
              <w:t>Middle-High School</w:t>
            </w:r>
          </w:p>
        </w:tc>
        <w:tc>
          <w:tcPr>
            <w:tcW w:w="8100" w:type="dxa"/>
          </w:tcPr>
          <w:p w14:paraId="2404ACD0" w14:textId="77777777" w:rsidR="001F0598" w:rsidRDefault="00AD2F93" w:rsidP="008E32B9">
            <w:r>
              <w:t>The Student Assistance Program (SAP) is an eight week program for students who are first time offenders for possession or being under the influence of alcohol or drugs. The program establishes goals around substance abuse prevention and education, and the development of protective factors.</w:t>
            </w:r>
          </w:p>
        </w:tc>
        <w:tc>
          <w:tcPr>
            <w:tcW w:w="1800" w:type="dxa"/>
          </w:tcPr>
          <w:p w14:paraId="62667F74" w14:textId="77777777" w:rsidR="00AD2F93" w:rsidRDefault="00AD2F93" w:rsidP="008E32B9">
            <w:r>
              <w:t>Community Recovery Resources</w:t>
            </w:r>
          </w:p>
          <w:p w14:paraId="11346175" w14:textId="77777777" w:rsidR="00AD2F93" w:rsidRPr="00986D7B" w:rsidRDefault="00AD2F93" w:rsidP="008E32B9"/>
        </w:tc>
      </w:tr>
      <w:tr w:rsidR="00AD2F93" w14:paraId="0F766DC0" w14:textId="77777777" w:rsidTr="001F0598">
        <w:tc>
          <w:tcPr>
            <w:tcW w:w="2358" w:type="dxa"/>
          </w:tcPr>
          <w:p w14:paraId="7D6B1556" w14:textId="77777777" w:rsidR="00AD2F93" w:rsidRPr="00EF027F" w:rsidRDefault="00AD2F93" w:rsidP="008E32B9">
            <w:pPr>
              <w:rPr>
                <w:b/>
              </w:rPr>
            </w:pPr>
            <w:r w:rsidRPr="00EF027F">
              <w:rPr>
                <w:b/>
              </w:rPr>
              <w:t xml:space="preserve">Teaching Pro Social Skills: </w:t>
            </w:r>
            <w:proofErr w:type="spellStart"/>
            <w:r w:rsidRPr="00EF027F">
              <w:rPr>
                <w:b/>
              </w:rPr>
              <w:t>Skillstreaming</w:t>
            </w:r>
            <w:proofErr w:type="spellEnd"/>
          </w:p>
        </w:tc>
        <w:tc>
          <w:tcPr>
            <w:tcW w:w="2070" w:type="dxa"/>
          </w:tcPr>
          <w:p w14:paraId="101E8532" w14:textId="77777777" w:rsidR="00AD2F93" w:rsidRDefault="00AD2F93" w:rsidP="008E32B9">
            <w:r>
              <w:t>Grades 6-12</w:t>
            </w:r>
          </w:p>
        </w:tc>
        <w:tc>
          <w:tcPr>
            <w:tcW w:w="8100" w:type="dxa"/>
          </w:tcPr>
          <w:p w14:paraId="7DE899DD" w14:textId="77777777" w:rsidR="00AD2F93" w:rsidRDefault="00AD2F93" w:rsidP="008E32B9">
            <w:r>
              <w:t xml:space="preserve">Teaching </w:t>
            </w:r>
            <w:proofErr w:type="spellStart"/>
            <w:r>
              <w:t>ProSocial</w:t>
            </w:r>
            <w:proofErr w:type="spellEnd"/>
            <w:r>
              <w:t xml:space="preserve"> Behav</w:t>
            </w:r>
            <w:r w:rsidR="001F0598">
              <w:t>ior (</w:t>
            </w:r>
            <w:proofErr w:type="spellStart"/>
            <w:r w:rsidR="001F0598">
              <w:t>Skillstreaming</w:t>
            </w:r>
            <w:proofErr w:type="spellEnd"/>
            <w:r w:rsidR="001F0598">
              <w:t xml:space="preserve">) employs a </w:t>
            </w:r>
            <w:r>
              <w:t>training approach, including modeling, role-playing, performance feedback and generalization – to teach essential pro-social skills to adolescents.</w:t>
            </w:r>
          </w:p>
        </w:tc>
        <w:tc>
          <w:tcPr>
            <w:tcW w:w="1800" w:type="dxa"/>
          </w:tcPr>
          <w:p w14:paraId="5F63B728" w14:textId="77777777" w:rsidR="00AD2F93" w:rsidRDefault="00AD2F93" w:rsidP="008E32B9">
            <w:r>
              <w:t>Lighthouse Counseling and Family Resource Center</w:t>
            </w:r>
          </w:p>
        </w:tc>
      </w:tr>
      <w:tr w:rsidR="00AD2F93" w14:paraId="1301930B" w14:textId="77777777" w:rsidTr="001F0598">
        <w:tc>
          <w:tcPr>
            <w:tcW w:w="2358" w:type="dxa"/>
          </w:tcPr>
          <w:p w14:paraId="4D5D07A9" w14:textId="77777777" w:rsidR="00AD2F93" w:rsidRPr="00EF027F" w:rsidRDefault="00AD2F93" w:rsidP="00B655DD">
            <w:pPr>
              <w:rPr>
                <w:b/>
              </w:rPr>
            </w:pPr>
            <w:r w:rsidRPr="00EF027F">
              <w:rPr>
                <w:b/>
              </w:rPr>
              <w:t>Yoga Calm</w:t>
            </w:r>
          </w:p>
          <w:p w14:paraId="04FBBEFB" w14:textId="77777777" w:rsidR="00AD2F93" w:rsidRPr="00EC66A6" w:rsidRDefault="00AD2F93" w:rsidP="00B655DD">
            <w:r w:rsidRPr="00EC66A6">
              <w:t>www.yogacalm.org</w:t>
            </w:r>
          </w:p>
        </w:tc>
        <w:tc>
          <w:tcPr>
            <w:tcW w:w="2070" w:type="dxa"/>
          </w:tcPr>
          <w:p w14:paraId="48DA5BD4" w14:textId="77777777" w:rsidR="00AD2F93" w:rsidRDefault="00AD2F93" w:rsidP="00B655DD">
            <w:r>
              <w:t>Grades K-12</w:t>
            </w:r>
          </w:p>
        </w:tc>
        <w:tc>
          <w:tcPr>
            <w:tcW w:w="8100" w:type="dxa"/>
          </w:tcPr>
          <w:p w14:paraId="7C01BA24" w14:textId="77777777" w:rsidR="00AD2F93" w:rsidRDefault="00AD2F93" w:rsidP="00B655DD">
            <w:r>
              <w:t>Yoga Calm integrates physical yoga, social skills games, mindfulness activities and counseling techniques. The focus is to help students develop emotional intelligence, communication skills, trust and empathy.</w:t>
            </w:r>
          </w:p>
        </w:tc>
        <w:tc>
          <w:tcPr>
            <w:tcW w:w="1800" w:type="dxa"/>
          </w:tcPr>
          <w:p w14:paraId="694EE705" w14:textId="77777777" w:rsidR="00AD2F93" w:rsidRDefault="00AD2F93" w:rsidP="00B655DD"/>
        </w:tc>
      </w:tr>
    </w:tbl>
    <w:p w14:paraId="3E72D9DF" w14:textId="77777777" w:rsidR="00B655DD" w:rsidRDefault="00B655DD" w:rsidP="00B655DD"/>
    <w:p w14:paraId="571D27C9" w14:textId="77777777" w:rsidR="00EF6A88" w:rsidRDefault="00EF6A88" w:rsidP="00B655DD"/>
    <w:p w14:paraId="148C39D1" w14:textId="77777777" w:rsidR="00EF6A88" w:rsidRDefault="00EF6A88" w:rsidP="00B655DD">
      <w:pPr>
        <w:rPr>
          <w:b/>
          <w:u w:val="single"/>
        </w:rPr>
      </w:pPr>
      <w:r w:rsidRPr="00EF6A88">
        <w:rPr>
          <w:b/>
          <w:u w:val="single"/>
        </w:rPr>
        <w:t>Websites:</w:t>
      </w:r>
    </w:p>
    <w:p w14:paraId="6292BAB3" w14:textId="77777777" w:rsidR="00815763" w:rsidRPr="00EF6A88" w:rsidRDefault="000E363B" w:rsidP="00EF6A88">
      <w:pPr>
        <w:numPr>
          <w:ilvl w:val="0"/>
          <w:numId w:val="2"/>
        </w:numPr>
        <w:rPr>
          <w:b/>
          <w:u w:val="single"/>
        </w:rPr>
      </w:pPr>
      <w:r w:rsidRPr="00EF6A88">
        <w:rPr>
          <w:b/>
          <w:u w:val="single"/>
        </w:rPr>
        <w:t>Student Mental Health Initiative</w:t>
      </w:r>
    </w:p>
    <w:p w14:paraId="32115293" w14:textId="77777777" w:rsidR="00815763" w:rsidRPr="00EF6A88" w:rsidRDefault="00D94486" w:rsidP="00EF6A88">
      <w:pPr>
        <w:numPr>
          <w:ilvl w:val="1"/>
          <w:numId w:val="2"/>
        </w:numPr>
        <w:rPr>
          <w:b/>
          <w:u w:val="single"/>
        </w:rPr>
      </w:pPr>
      <w:hyperlink r:id="rId9" w:history="1">
        <w:r w:rsidR="000E363B" w:rsidRPr="00EF6A88">
          <w:rPr>
            <w:rStyle w:val="Hyperlink"/>
            <w:b/>
          </w:rPr>
          <w:t>http://www.regionalk12smhi.org</w:t>
        </w:r>
      </w:hyperlink>
      <w:hyperlink r:id="rId10" w:history="1">
        <w:r w:rsidR="000E363B" w:rsidRPr="00EF6A88">
          <w:rPr>
            <w:rStyle w:val="Hyperlink"/>
            <w:b/>
          </w:rPr>
          <w:t>/</w:t>
        </w:r>
      </w:hyperlink>
    </w:p>
    <w:p w14:paraId="5D999A4E" w14:textId="77777777" w:rsidR="00815763" w:rsidRPr="00EF6A88" w:rsidRDefault="000E363B" w:rsidP="00EF6A88">
      <w:pPr>
        <w:numPr>
          <w:ilvl w:val="0"/>
          <w:numId w:val="2"/>
        </w:numPr>
        <w:rPr>
          <w:b/>
          <w:u w:val="single"/>
        </w:rPr>
      </w:pPr>
      <w:r w:rsidRPr="00EF6A88">
        <w:rPr>
          <w:b/>
          <w:u w:val="single"/>
        </w:rPr>
        <w:t>What Works Clearinghouse for Behavior</w:t>
      </w:r>
    </w:p>
    <w:p w14:paraId="68C1986C" w14:textId="77777777" w:rsidR="00815763" w:rsidRPr="00EF6A88" w:rsidRDefault="00D94486" w:rsidP="00EF6A88">
      <w:pPr>
        <w:numPr>
          <w:ilvl w:val="1"/>
          <w:numId w:val="2"/>
        </w:numPr>
        <w:rPr>
          <w:b/>
          <w:u w:val="single"/>
        </w:rPr>
      </w:pPr>
      <w:hyperlink r:id="rId11" w:history="1">
        <w:r w:rsidR="000E363B" w:rsidRPr="00EF6A88">
          <w:rPr>
            <w:rStyle w:val="Hyperlink"/>
            <w:b/>
          </w:rPr>
          <w:t>http://</w:t>
        </w:r>
      </w:hyperlink>
      <w:hyperlink r:id="rId12" w:history="1">
        <w:r w:rsidR="000E363B" w:rsidRPr="00EF6A88">
          <w:rPr>
            <w:rStyle w:val="Hyperlink"/>
            <w:b/>
          </w:rPr>
          <w:t>ies.ed.gov/ncee/wwc/findwhatworks.aspx</w:t>
        </w:r>
      </w:hyperlink>
    </w:p>
    <w:p w14:paraId="66014B43" w14:textId="77777777" w:rsidR="00EF6A88" w:rsidRPr="00EF6A88" w:rsidRDefault="00EF6A88" w:rsidP="00B655DD">
      <w:pPr>
        <w:rPr>
          <w:b/>
          <w:u w:val="single"/>
        </w:rPr>
      </w:pPr>
    </w:p>
    <w:sectPr w:rsidR="00EF6A88" w:rsidRPr="00EF6A88" w:rsidSect="001F0598">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37CE4" w14:textId="77777777" w:rsidR="00D94486" w:rsidRDefault="00D94486" w:rsidP="00AD2F93">
      <w:pPr>
        <w:spacing w:after="0" w:line="240" w:lineRule="auto"/>
      </w:pPr>
      <w:r>
        <w:separator/>
      </w:r>
    </w:p>
  </w:endnote>
  <w:endnote w:type="continuationSeparator" w:id="0">
    <w:p w14:paraId="6D2A8332" w14:textId="77777777" w:rsidR="00D94486" w:rsidRDefault="00D94486" w:rsidP="00AD2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A6602" w14:textId="2C3AC536" w:rsidR="00AD2F93" w:rsidRDefault="00AD2F93">
    <w:pPr>
      <w:pStyle w:val="Footer"/>
    </w:pPr>
    <w:r>
      <w:fldChar w:fldCharType="begin"/>
    </w:r>
    <w:r>
      <w:instrText xml:space="preserve"> DATE \@ "M/d/yyyy" </w:instrText>
    </w:r>
    <w:r>
      <w:fldChar w:fldCharType="separate"/>
    </w:r>
    <w:r w:rsidR="004958A5">
      <w:rPr>
        <w:noProof/>
      </w:rPr>
      <w:t>1/11/2017</w:t>
    </w:r>
    <w:r>
      <w:fldChar w:fldCharType="end"/>
    </w:r>
    <w:r w:rsidR="007C1EA5">
      <w:tab/>
    </w:r>
    <w:r w:rsidR="007C1EA5">
      <w:tab/>
    </w:r>
    <w:r w:rsidR="007C1EA5">
      <w:tab/>
    </w:r>
    <w:r w:rsidR="007C1EA5">
      <w:tab/>
    </w:r>
    <w:r w:rsidR="007C1EA5">
      <w:tab/>
    </w:r>
    <w:r w:rsidR="007C1EA5">
      <w:tab/>
    </w:r>
    <w:r w:rsidR="00860487">
      <w:t>Document 109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DAF91" w14:textId="77777777" w:rsidR="00D94486" w:rsidRDefault="00D94486" w:rsidP="00AD2F93">
      <w:pPr>
        <w:spacing w:after="0" w:line="240" w:lineRule="auto"/>
      </w:pPr>
      <w:r>
        <w:separator/>
      </w:r>
    </w:p>
  </w:footnote>
  <w:footnote w:type="continuationSeparator" w:id="0">
    <w:p w14:paraId="28F93C05" w14:textId="77777777" w:rsidR="00D94486" w:rsidRDefault="00D94486" w:rsidP="00AD2F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721F1"/>
    <w:multiLevelType w:val="hybridMultilevel"/>
    <w:tmpl w:val="AD52B7E6"/>
    <w:lvl w:ilvl="0" w:tplc="625CE522">
      <w:start w:val="1"/>
      <w:numFmt w:val="bullet"/>
      <w:lvlText w:val=""/>
      <w:lvlJc w:val="left"/>
      <w:pPr>
        <w:tabs>
          <w:tab w:val="num" w:pos="720"/>
        </w:tabs>
        <w:ind w:left="720" w:hanging="360"/>
      </w:pPr>
      <w:rPr>
        <w:rFonts w:ascii="Wingdings 2" w:hAnsi="Wingdings 2" w:hint="default"/>
      </w:rPr>
    </w:lvl>
    <w:lvl w:ilvl="1" w:tplc="0C44EA1E" w:tentative="1">
      <w:start w:val="1"/>
      <w:numFmt w:val="bullet"/>
      <w:lvlText w:val=""/>
      <w:lvlJc w:val="left"/>
      <w:pPr>
        <w:tabs>
          <w:tab w:val="num" w:pos="1440"/>
        </w:tabs>
        <w:ind w:left="1440" w:hanging="360"/>
      </w:pPr>
      <w:rPr>
        <w:rFonts w:ascii="Wingdings 2" w:hAnsi="Wingdings 2" w:hint="default"/>
      </w:rPr>
    </w:lvl>
    <w:lvl w:ilvl="2" w:tplc="17F67F98" w:tentative="1">
      <w:start w:val="1"/>
      <w:numFmt w:val="bullet"/>
      <w:lvlText w:val=""/>
      <w:lvlJc w:val="left"/>
      <w:pPr>
        <w:tabs>
          <w:tab w:val="num" w:pos="2160"/>
        </w:tabs>
        <w:ind w:left="2160" w:hanging="360"/>
      </w:pPr>
      <w:rPr>
        <w:rFonts w:ascii="Wingdings 2" w:hAnsi="Wingdings 2" w:hint="default"/>
      </w:rPr>
    </w:lvl>
    <w:lvl w:ilvl="3" w:tplc="489E4AC2" w:tentative="1">
      <w:start w:val="1"/>
      <w:numFmt w:val="bullet"/>
      <w:lvlText w:val=""/>
      <w:lvlJc w:val="left"/>
      <w:pPr>
        <w:tabs>
          <w:tab w:val="num" w:pos="2880"/>
        </w:tabs>
        <w:ind w:left="2880" w:hanging="360"/>
      </w:pPr>
      <w:rPr>
        <w:rFonts w:ascii="Wingdings 2" w:hAnsi="Wingdings 2" w:hint="default"/>
      </w:rPr>
    </w:lvl>
    <w:lvl w:ilvl="4" w:tplc="5AFCC98C" w:tentative="1">
      <w:start w:val="1"/>
      <w:numFmt w:val="bullet"/>
      <w:lvlText w:val=""/>
      <w:lvlJc w:val="left"/>
      <w:pPr>
        <w:tabs>
          <w:tab w:val="num" w:pos="3600"/>
        </w:tabs>
        <w:ind w:left="3600" w:hanging="360"/>
      </w:pPr>
      <w:rPr>
        <w:rFonts w:ascii="Wingdings 2" w:hAnsi="Wingdings 2" w:hint="default"/>
      </w:rPr>
    </w:lvl>
    <w:lvl w:ilvl="5" w:tplc="ACBA091E" w:tentative="1">
      <w:start w:val="1"/>
      <w:numFmt w:val="bullet"/>
      <w:lvlText w:val=""/>
      <w:lvlJc w:val="left"/>
      <w:pPr>
        <w:tabs>
          <w:tab w:val="num" w:pos="4320"/>
        </w:tabs>
        <w:ind w:left="4320" w:hanging="360"/>
      </w:pPr>
      <w:rPr>
        <w:rFonts w:ascii="Wingdings 2" w:hAnsi="Wingdings 2" w:hint="default"/>
      </w:rPr>
    </w:lvl>
    <w:lvl w:ilvl="6" w:tplc="446A1538" w:tentative="1">
      <w:start w:val="1"/>
      <w:numFmt w:val="bullet"/>
      <w:lvlText w:val=""/>
      <w:lvlJc w:val="left"/>
      <w:pPr>
        <w:tabs>
          <w:tab w:val="num" w:pos="5040"/>
        </w:tabs>
        <w:ind w:left="5040" w:hanging="360"/>
      </w:pPr>
      <w:rPr>
        <w:rFonts w:ascii="Wingdings 2" w:hAnsi="Wingdings 2" w:hint="default"/>
      </w:rPr>
    </w:lvl>
    <w:lvl w:ilvl="7" w:tplc="4E8CE95A" w:tentative="1">
      <w:start w:val="1"/>
      <w:numFmt w:val="bullet"/>
      <w:lvlText w:val=""/>
      <w:lvlJc w:val="left"/>
      <w:pPr>
        <w:tabs>
          <w:tab w:val="num" w:pos="5760"/>
        </w:tabs>
        <w:ind w:left="5760" w:hanging="360"/>
      </w:pPr>
      <w:rPr>
        <w:rFonts w:ascii="Wingdings 2" w:hAnsi="Wingdings 2" w:hint="default"/>
      </w:rPr>
    </w:lvl>
    <w:lvl w:ilvl="8" w:tplc="C840CD6C"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3DA47987"/>
    <w:multiLevelType w:val="hybridMultilevel"/>
    <w:tmpl w:val="FAAA14C8"/>
    <w:lvl w:ilvl="0" w:tplc="A5286B8E">
      <w:start w:val="1"/>
      <w:numFmt w:val="bullet"/>
      <w:lvlText w:val=""/>
      <w:lvlJc w:val="left"/>
      <w:pPr>
        <w:tabs>
          <w:tab w:val="num" w:pos="720"/>
        </w:tabs>
        <w:ind w:left="720" w:hanging="360"/>
      </w:pPr>
      <w:rPr>
        <w:rFonts w:ascii="Wingdings 2" w:hAnsi="Wingdings 2" w:hint="default"/>
      </w:rPr>
    </w:lvl>
    <w:lvl w:ilvl="1" w:tplc="8E18D574">
      <w:start w:val="20"/>
      <w:numFmt w:val="bullet"/>
      <w:lvlText w:val=""/>
      <w:lvlJc w:val="left"/>
      <w:pPr>
        <w:tabs>
          <w:tab w:val="num" w:pos="1440"/>
        </w:tabs>
        <w:ind w:left="1440" w:hanging="360"/>
      </w:pPr>
      <w:rPr>
        <w:rFonts w:ascii="Wingdings 2" w:hAnsi="Wingdings 2" w:hint="default"/>
      </w:rPr>
    </w:lvl>
    <w:lvl w:ilvl="2" w:tplc="76A61A2C" w:tentative="1">
      <w:start w:val="1"/>
      <w:numFmt w:val="bullet"/>
      <w:lvlText w:val=""/>
      <w:lvlJc w:val="left"/>
      <w:pPr>
        <w:tabs>
          <w:tab w:val="num" w:pos="2160"/>
        </w:tabs>
        <w:ind w:left="2160" w:hanging="360"/>
      </w:pPr>
      <w:rPr>
        <w:rFonts w:ascii="Wingdings 2" w:hAnsi="Wingdings 2" w:hint="default"/>
      </w:rPr>
    </w:lvl>
    <w:lvl w:ilvl="3" w:tplc="6D12E2A4" w:tentative="1">
      <w:start w:val="1"/>
      <w:numFmt w:val="bullet"/>
      <w:lvlText w:val=""/>
      <w:lvlJc w:val="left"/>
      <w:pPr>
        <w:tabs>
          <w:tab w:val="num" w:pos="2880"/>
        </w:tabs>
        <w:ind w:left="2880" w:hanging="360"/>
      </w:pPr>
      <w:rPr>
        <w:rFonts w:ascii="Wingdings 2" w:hAnsi="Wingdings 2" w:hint="default"/>
      </w:rPr>
    </w:lvl>
    <w:lvl w:ilvl="4" w:tplc="4F0E57B0" w:tentative="1">
      <w:start w:val="1"/>
      <w:numFmt w:val="bullet"/>
      <w:lvlText w:val=""/>
      <w:lvlJc w:val="left"/>
      <w:pPr>
        <w:tabs>
          <w:tab w:val="num" w:pos="3600"/>
        </w:tabs>
        <w:ind w:left="3600" w:hanging="360"/>
      </w:pPr>
      <w:rPr>
        <w:rFonts w:ascii="Wingdings 2" w:hAnsi="Wingdings 2" w:hint="default"/>
      </w:rPr>
    </w:lvl>
    <w:lvl w:ilvl="5" w:tplc="5FD8526C" w:tentative="1">
      <w:start w:val="1"/>
      <w:numFmt w:val="bullet"/>
      <w:lvlText w:val=""/>
      <w:lvlJc w:val="left"/>
      <w:pPr>
        <w:tabs>
          <w:tab w:val="num" w:pos="4320"/>
        </w:tabs>
        <w:ind w:left="4320" w:hanging="360"/>
      </w:pPr>
      <w:rPr>
        <w:rFonts w:ascii="Wingdings 2" w:hAnsi="Wingdings 2" w:hint="default"/>
      </w:rPr>
    </w:lvl>
    <w:lvl w:ilvl="6" w:tplc="7A34B356" w:tentative="1">
      <w:start w:val="1"/>
      <w:numFmt w:val="bullet"/>
      <w:lvlText w:val=""/>
      <w:lvlJc w:val="left"/>
      <w:pPr>
        <w:tabs>
          <w:tab w:val="num" w:pos="5040"/>
        </w:tabs>
        <w:ind w:left="5040" w:hanging="360"/>
      </w:pPr>
      <w:rPr>
        <w:rFonts w:ascii="Wingdings 2" w:hAnsi="Wingdings 2" w:hint="default"/>
      </w:rPr>
    </w:lvl>
    <w:lvl w:ilvl="7" w:tplc="754C5286" w:tentative="1">
      <w:start w:val="1"/>
      <w:numFmt w:val="bullet"/>
      <w:lvlText w:val=""/>
      <w:lvlJc w:val="left"/>
      <w:pPr>
        <w:tabs>
          <w:tab w:val="num" w:pos="5760"/>
        </w:tabs>
        <w:ind w:left="5760" w:hanging="360"/>
      </w:pPr>
      <w:rPr>
        <w:rFonts w:ascii="Wingdings 2" w:hAnsi="Wingdings 2" w:hint="default"/>
      </w:rPr>
    </w:lvl>
    <w:lvl w:ilvl="8" w:tplc="3BD84E42"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DD"/>
    <w:rsid w:val="000E363B"/>
    <w:rsid w:val="000E6544"/>
    <w:rsid w:val="00166E20"/>
    <w:rsid w:val="001A25C3"/>
    <w:rsid w:val="001F0598"/>
    <w:rsid w:val="004958A5"/>
    <w:rsid w:val="007C1EA5"/>
    <w:rsid w:val="00815763"/>
    <w:rsid w:val="00860487"/>
    <w:rsid w:val="008C2D3D"/>
    <w:rsid w:val="008F34F1"/>
    <w:rsid w:val="00986D7B"/>
    <w:rsid w:val="00A04454"/>
    <w:rsid w:val="00AD2F93"/>
    <w:rsid w:val="00B30262"/>
    <w:rsid w:val="00B655DD"/>
    <w:rsid w:val="00B80012"/>
    <w:rsid w:val="00BD6182"/>
    <w:rsid w:val="00D623B3"/>
    <w:rsid w:val="00D75663"/>
    <w:rsid w:val="00D94486"/>
    <w:rsid w:val="00EC66A6"/>
    <w:rsid w:val="00EF027F"/>
    <w:rsid w:val="00EF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9F958"/>
  <w15:docId w15:val="{ABEDB545-60E1-4285-9AEB-1816A1F08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55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5D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65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5DD"/>
    <w:rPr>
      <w:rFonts w:ascii="Tahoma" w:hAnsi="Tahoma" w:cs="Tahoma"/>
      <w:sz w:val="16"/>
      <w:szCs w:val="16"/>
    </w:rPr>
  </w:style>
  <w:style w:type="table" w:styleId="TableGrid">
    <w:name w:val="Table Grid"/>
    <w:basedOn w:val="TableNormal"/>
    <w:uiPriority w:val="59"/>
    <w:rsid w:val="00B65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23B3"/>
    <w:rPr>
      <w:color w:val="0000FF" w:themeColor="hyperlink"/>
      <w:u w:val="single"/>
    </w:rPr>
  </w:style>
  <w:style w:type="paragraph" w:styleId="NormalWeb">
    <w:name w:val="Normal (Web)"/>
    <w:basedOn w:val="Normal"/>
    <w:uiPriority w:val="99"/>
    <w:semiHidden/>
    <w:unhideWhenUsed/>
    <w:rsid w:val="00EC66A6"/>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D2F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F93"/>
  </w:style>
  <w:style w:type="paragraph" w:styleId="Footer">
    <w:name w:val="footer"/>
    <w:basedOn w:val="Normal"/>
    <w:link w:val="FooterChar"/>
    <w:uiPriority w:val="99"/>
    <w:unhideWhenUsed/>
    <w:rsid w:val="00AD2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61267">
      <w:bodyDiv w:val="1"/>
      <w:marLeft w:val="0"/>
      <w:marRight w:val="0"/>
      <w:marTop w:val="0"/>
      <w:marBottom w:val="0"/>
      <w:divBdr>
        <w:top w:val="none" w:sz="0" w:space="0" w:color="auto"/>
        <w:left w:val="none" w:sz="0" w:space="0" w:color="auto"/>
        <w:bottom w:val="none" w:sz="0" w:space="0" w:color="auto"/>
        <w:right w:val="none" w:sz="0" w:space="0" w:color="auto"/>
      </w:divBdr>
    </w:div>
    <w:div w:id="212040574">
      <w:bodyDiv w:val="1"/>
      <w:marLeft w:val="0"/>
      <w:marRight w:val="0"/>
      <w:marTop w:val="0"/>
      <w:marBottom w:val="0"/>
      <w:divBdr>
        <w:top w:val="none" w:sz="0" w:space="0" w:color="auto"/>
        <w:left w:val="none" w:sz="0" w:space="0" w:color="auto"/>
        <w:bottom w:val="none" w:sz="0" w:space="0" w:color="auto"/>
        <w:right w:val="none" w:sz="0" w:space="0" w:color="auto"/>
      </w:divBdr>
      <w:divsChild>
        <w:div w:id="370963638">
          <w:marLeft w:val="360"/>
          <w:marRight w:val="0"/>
          <w:marTop w:val="360"/>
          <w:marBottom w:val="0"/>
          <w:divBdr>
            <w:top w:val="none" w:sz="0" w:space="0" w:color="auto"/>
            <w:left w:val="none" w:sz="0" w:space="0" w:color="auto"/>
            <w:bottom w:val="none" w:sz="0" w:space="0" w:color="auto"/>
            <w:right w:val="none" w:sz="0" w:space="0" w:color="auto"/>
          </w:divBdr>
        </w:div>
      </w:divsChild>
    </w:div>
    <w:div w:id="570896352">
      <w:bodyDiv w:val="1"/>
      <w:marLeft w:val="0"/>
      <w:marRight w:val="0"/>
      <w:marTop w:val="0"/>
      <w:marBottom w:val="0"/>
      <w:divBdr>
        <w:top w:val="none" w:sz="0" w:space="0" w:color="auto"/>
        <w:left w:val="none" w:sz="0" w:space="0" w:color="auto"/>
        <w:bottom w:val="none" w:sz="0" w:space="0" w:color="auto"/>
        <w:right w:val="none" w:sz="0" w:space="0" w:color="auto"/>
      </w:divBdr>
    </w:div>
    <w:div w:id="1357194393">
      <w:bodyDiv w:val="1"/>
      <w:marLeft w:val="0"/>
      <w:marRight w:val="0"/>
      <w:marTop w:val="0"/>
      <w:marBottom w:val="0"/>
      <w:divBdr>
        <w:top w:val="none" w:sz="0" w:space="0" w:color="auto"/>
        <w:left w:val="none" w:sz="0" w:space="0" w:color="auto"/>
        <w:bottom w:val="none" w:sz="0" w:space="0" w:color="auto"/>
        <w:right w:val="none" w:sz="0" w:space="0" w:color="auto"/>
      </w:divBdr>
    </w:div>
    <w:div w:id="1416171937">
      <w:bodyDiv w:val="1"/>
      <w:marLeft w:val="0"/>
      <w:marRight w:val="0"/>
      <w:marTop w:val="0"/>
      <w:marBottom w:val="0"/>
      <w:divBdr>
        <w:top w:val="none" w:sz="0" w:space="0" w:color="auto"/>
        <w:left w:val="none" w:sz="0" w:space="0" w:color="auto"/>
        <w:bottom w:val="none" w:sz="0" w:space="0" w:color="auto"/>
        <w:right w:val="none" w:sz="0" w:space="0" w:color="auto"/>
      </w:divBdr>
    </w:div>
    <w:div w:id="1837695501">
      <w:bodyDiv w:val="1"/>
      <w:marLeft w:val="0"/>
      <w:marRight w:val="0"/>
      <w:marTop w:val="0"/>
      <w:marBottom w:val="0"/>
      <w:divBdr>
        <w:top w:val="none" w:sz="0" w:space="0" w:color="auto"/>
        <w:left w:val="none" w:sz="0" w:space="0" w:color="auto"/>
        <w:bottom w:val="none" w:sz="0" w:space="0" w:color="auto"/>
        <w:right w:val="none" w:sz="0" w:space="0" w:color="auto"/>
      </w:divBdr>
      <w:divsChild>
        <w:div w:id="1739208902">
          <w:marLeft w:val="360"/>
          <w:marRight w:val="0"/>
          <w:marTop w:val="360"/>
          <w:marBottom w:val="0"/>
          <w:divBdr>
            <w:top w:val="none" w:sz="0" w:space="0" w:color="auto"/>
            <w:left w:val="none" w:sz="0" w:space="0" w:color="auto"/>
            <w:bottom w:val="none" w:sz="0" w:space="0" w:color="auto"/>
            <w:right w:val="none" w:sz="0" w:space="0" w:color="auto"/>
          </w:divBdr>
        </w:div>
        <w:div w:id="1533571769">
          <w:marLeft w:val="720"/>
          <w:marRight w:val="0"/>
          <w:marTop w:val="120"/>
          <w:marBottom w:val="0"/>
          <w:divBdr>
            <w:top w:val="none" w:sz="0" w:space="0" w:color="auto"/>
            <w:left w:val="none" w:sz="0" w:space="0" w:color="auto"/>
            <w:bottom w:val="none" w:sz="0" w:space="0" w:color="auto"/>
            <w:right w:val="none" w:sz="0" w:space="0" w:color="auto"/>
          </w:divBdr>
        </w:div>
        <w:div w:id="1591549937">
          <w:marLeft w:val="360"/>
          <w:marRight w:val="0"/>
          <w:marTop w:val="360"/>
          <w:marBottom w:val="0"/>
          <w:divBdr>
            <w:top w:val="none" w:sz="0" w:space="0" w:color="auto"/>
            <w:left w:val="none" w:sz="0" w:space="0" w:color="auto"/>
            <w:bottom w:val="none" w:sz="0" w:space="0" w:color="auto"/>
            <w:right w:val="none" w:sz="0" w:space="0" w:color="auto"/>
          </w:divBdr>
        </w:div>
        <w:div w:id="1996446479">
          <w:marLeft w:val="720"/>
          <w:marRight w:val="0"/>
          <w:marTop w:val="120"/>
          <w:marBottom w:val="0"/>
          <w:divBdr>
            <w:top w:val="none" w:sz="0" w:space="0" w:color="auto"/>
            <w:left w:val="none" w:sz="0" w:space="0" w:color="auto"/>
            <w:bottom w:val="none" w:sz="0" w:space="0" w:color="auto"/>
            <w:right w:val="none" w:sz="0" w:space="0" w:color="auto"/>
          </w:divBdr>
        </w:div>
      </w:divsChild>
    </w:div>
    <w:div w:id="197344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connect.net/about-u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es.ed.gov/ncee/wwc/findwhatwork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es.ed.gov/ncee/wwc/findwhatworks.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egionalk12smhi.org/" TargetMode="External"/><Relationship Id="rId4" Type="http://schemas.openxmlformats.org/officeDocument/2006/relationships/webSettings" Target="webSettings.xml"/><Relationship Id="rId9" Type="http://schemas.openxmlformats.org/officeDocument/2006/relationships/hyperlink" Target="http://www.regionalk12smhi.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Rossetto-Dickey, Celeste</dc:creator>
  <cp:lastModifiedBy>Diane Stevenson in Student Services</cp:lastModifiedBy>
  <cp:revision>2</cp:revision>
  <cp:lastPrinted>2014-12-01T20:25:00Z</cp:lastPrinted>
  <dcterms:created xsi:type="dcterms:W3CDTF">2017-01-11T22:45:00Z</dcterms:created>
  <dcterms:modified xsi:type="dcterms:W3CDTF">2017-01-11T22:45:00Z</dcterms:modified>
</cp:coreProperties>
</file>