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44CC7" w14:textId="14B530E6" w:rsidR="008831E1" w:rsidRPr="008831E1" w:rsidRDefault="006931B4" w:rsidP="008831E1">
      <w:pPr>
        <w:pBdr>
          <w:bottom w:val="single" w:sz="24" w:space="1" w:color="auto"/>
        </w:pBdr>
        <w:jc w:val="center"/>
        <w:rPr>
          <w:rFonts w:ascii="Avenir Book" w:hAnsi="Avenir Book"/>
          <w:b/>
        </w:rPr>
      </w:pPr>
      <w:bookmarkStart w:id="0" w:name="_GoBack"/>
      <w:bookmarkEnd w:id="0"/>
      <w:r>
        <w:rPr>
          <w:rFonts w:ascii="Avenir Book" w:hAnsi="Avenir Book"/>
          <w:b/>
        </w:rPr>
        <w:t xml:space="preserve">USING </w:t>
      </w:r>
      <w:r w:rsidR="008831E1" w:rsidRPr="008831E1">
        <w:rPr>
          <w:rFonts w:ascii="Avenir Book" w:hAnsi="Avenir Book"/>
          <w:b/>
        </w:rPr>
        <w:t>MODE</w:t>
      </w:r>
      <w:r>
        <w:rPr>
          <w:rFonts w:ascii="Avenir Book" w:hAnsi="Avenir Book"/>
          <w:b/>
        </w:rPr>
        <w:t>S</w:t>
      </w:r>
      <w:r w:rsidR="008831E1" w:rsidRPr="008831E1">
        <w:rPr>
          <w:rFonts w:ascii="Avenir Book" w:hAnsi="Avenir Book"/>
          <w:b/>
        </w:rPr>
        <w:t xml:space="preserve"> OF RESPONSE</w:t>
      </w:r>
    </w:p>
    <w:p w14:paraId="75E26D39" w14:textId="77777777" w:rsidR="008831E1" w:rsidRPr="008831E1" w:rsidRDefault="008831E1" w:rsidP="008831E1">
      <w:pPr>
        <w:rPr>
          <w:rFonts w:ascii="Avenir Book" w:hAnsi="Avenir Book"/>
          <w:b/>
        </w:rPr>
      </w:pPr>
    </w:p>
    <w:p w14:paraId="59031056" w14:textId="77777777" w:rsidR="009B12AA" w:rsidRDefault="008831E1" w:rsidP="008831E1">
      <w:pPr>
        <w:rPr>
          <w:rFonts w:ascii="Avenir Book" w:hAnsi="Avenir Book"/>
        </w:rPr>
      </w:pPr>
      <w:r w:rsidRPr="008831E1">
        <w:rPr>
          <w:rFonts w:ascii="Avenir Book" w:hAnsi="Avenir Book"/>
        </w:rPr>
        <w:t>The mode of response is the manner in which the teacher expects the students to respond.  It may be by raising their hands, shouting out the answer, writing on their papers, showing on their fingers or any other mode of response.  The important thing is that the mode of response</w:t>
      </w:r>
      <w:r>
        <w:rPr>
          <w:rFonts w:ascii="Avenir Book" w:hAnsi="Avenir Book"/>
        </w:rPr>
        <w:t xml:space="preserve"> be given to the students </w:t>
      </w:r>
      <w:r w:rsidRPr="009B12AA">
        <w:rPr>
          <w:rFonts w:ascii="Avenir Book" w:hAnsi="Avenir Book"/>
          <w:b/>
          <w:i/>
          <w:sz w:val="28"/>
          <w:szCs w:val="28"/>
        </w:rPr>
        <w:t>before the question</w:t>
      </w:r>
      <w:r w:rsidRPr="008831E1">
        <w:rPr>
          <w:rFonts w:ascii="Avenir Book" w:hAnsi="Avenir Book"/>
        </w:rPr>
        <w:t xml:space="preserve"> so the students are thinking about the question rather than how, or if, they should answer.  [</w:t>
      </w:r>
      <w:r w:rsidR="00E774E2">
        <w:rPr>
          <w:rFonts w:ascii="Avenir Book" w:hAnsi="Avenir Book"/>
        </w:rPr>
        <w:t xml:space="preserve">For example: </w:t>
      </w:r>
    </w:p>
    <w:p w14:paraId="5C55E8CC" w14:textId="77777777" w:rsidR="009B12AA" w:rsidRDefault="009B12AA" w:rsidP="008831E1">
      <w:pPr>
        <w:rPr>
          <w:rFonts w:ascii="Avenir Book" w:hAnsi="Avenir Book"/>
        </w:rPr>
      </w:pPr>
    </w:p>
    <w:p w14:paraId="0A850917" w14:textId="6596916D" w:rsidR="008831E1" w:rsidRDefault="00E774E2" w:rsidP="008831E1">
      <w:pPr>
        <w:rPr>
          <w:rFonts w:ascii="Avenir Book" w:hAnsi="Avenir Book"/>
        </w:rPr>
      </w:pPr>
      <w:r>
        <w:rPr>
          <w:rFonts w:ascii="Avenir Book" w:hAnsi="Avenir Book"/>
        </w:rPr>
        <w:t xml:space="preserve">“Please </w:t>
      </w:r>
      <w:r w:rsidRPr="009B12AA">
        <w:rPr>
          <w:rFonts w:ascii="Avenir Book" w:hAnsi="Avenir Book"/>
          <w:color w:val="0000FF"/>
          <w:u w:val="single"/>
        </w:rPr>
        <w:t>s</w:t>
      </w:r>
      <w:r w:rsidR="008831E1" w:rsidRPr="009B12AA">
        <w:rPr>
          <w:rFonts w:ascii="Avenir Book" w:hAnsi="Avenir Book"/>
          <w:color w:val="0000FF"/>
          <w:u w:val="single"/>
        </w:rPr>
        <w:t>how me on your fingers</w:t>
      </w:r>
      <w:r w:rsidR="008831E1" w:rsidRPr="009B12AA">
        <w:rPr>
          <w:rFonts w:ascii="Avenir Book" w:hAnsi="Avenir Book"/>
          <w:u w:val="single"/>
        </w:rPr>
        <w:t xml:space="preserve"> </w:t>
      </w:r>
      <w:r w:rsidR="008831E1" w:rsidRPr="008831E1">
        <w:rPr>
          <w:rFonts w:ascii="Avenir Book" w:hAnsi="Avenir Book"/>
        </w:rPr>
        <w:t xml:space="preserve">the </w:t>
      </w:r>
      <w:r w:rsidR="008831E1" w:rsidRPr="009B12AA">
        <w:rPr>
          <w:rFonts w:ascii="Avenir Book" w:hAnsi="Avenir Book"/>
          <w:color w:val="660066"/>
          <w:u w:val="single"/>
        </w:rPr>
        <w:t>coefficient of the expression of 6x</w:t>
      </w:r>
      <w:r w:rsidR="008831E1" w:rsidRPr="009B12AA">
        <w:rPr>
          <w:rFonts w:ascii="Avenir Book" w:hAnsi="Avenir Book"/>
          <w:color w:val="660066"/>
          <w:position w:val="6"/>
          <w:u w:val="single"/>
        </w:rPr>
        <w:t>2</w:t>
      </w:r>
      <w:r>
        <w:rPr>
          <w:rFonts w:ascii="Avenir Book" w:hAnsi="Avenir Book"/>
          <w:position w:val="6"/>
        </w:rPr>
        <w:t xml:space="preserve"> “</w:t>
      </w:r>
      <w:r w:rsidR="008831E1" w:rsidRPr="008831E1">
        <w:rPr>
          <w:rFonts w:ascii="Avenir Book" w:hAnsi="Avenir Book"/>
        </w:rPr>
        <w:t xml:space="preserve">.]  </w:t>
      </w:r>
    </w:p>
    <w:p w14:paraId="66D0D105" w14:textId="5F79DB05" w:rsidR="009B12AA" w:rsidRPr="008831E1" w:rsidRDefault="009B12AA" w:rsidP="008831E1">
      <w:pPr>
        <w:rPr>
          <w:rFonts w:ascii="Avenir Book" w:hAnsi="Avenir Book"/>
        </w:rPr>
      </w:pPr>
      <w:r>
        <w:rPr>
          <w:rFonts w:ascii="Avenir Book" w:hAnsi="Avenir Book"/>
        </w:rPr>
        <w:t xml:space="preserve">                     </w:t>
      </w:r>
      <w:r w:rsidRPr="009B12AA">
        <w:rPr>
          <w:rFonts w:ascii="Avenir Book" w:hAnsi="Avenir Book"/>
          <w:color w:val="0000FF"/>
        </w:rPr>
        <w:t>Mode of Response</w:t>
      </w:r>
      <w:r>
        <w:rPr>
          <w:rFonts w:ascii="Avenir Book" w:hAnsi="Avenir Book"/>
        </w:rPr>
        <w:t xml:space="preserve">             </w:t>
      </w:r>
      <w:r w:rsidRPr="009B12AA">
        <w:rPr>
          <w:rFonts w:ascii="Avenir Book" w:hAnsi="Avenir Book"/>
          <w:color w:val="660066"/>
        </w:rPr>
        <w:t>Task or question for students</w:t>
      </w:r>
    </w:p>
    <w:p w14:paraId="2CBA61B1" w14:textId="77777777" w:rsidR="008831E1" w:rsidRPr="008831E1" w:rsidRDefault="008831E1" w:rsidP="008831E1">
      <w:pPr>
        <w:rPr>
          <w:rFonts w:ascii="Avenir Book" w:hAnsi="Avenir Book"/>
        </w:rPr>
      </w:pPr>
    </w:p>
    <w:p w14:paraId="05428ED5" w14:textId="77777777" w:rsidR="00230238" w:rsidRDefault="008831E1" w:rsidP="008831E1">
      <w:pPr>
        <w:rPr>
          <w:rFonts w:ascii="Avenir Book" w:hAnsi="Avenir Book"/>
        </w:rPr>
      </w:pPr>
      <w:r w:rsidRPr="008831E1">
        <w:rPr>
          <w:rFonts w:ascii="Avenir Book" w:hAnsi="Avenir Book"/>
        </w:rPr>
        <w:t xml:space="preserve">Different modes of response give different quality of feedback and allow different types of involvement.  </w:t>
      </w:r>
      <w:r w:rsidR="00230238">
        <w:rPr>
          <w:rFonts w:ascii="Avenir Book" w:hAnsi="Avenir Book"/>
        </w:rPr>
        <w:t xml:space="preserve">Consider the differences benefits to management, involvement, feedback or focus in using the following modes of response: </w:t>
      </w:r>
    </w:p>
    <w:p w14:paraId="656E3873" w14:textId="77777777" w:rsidR="00230238" w:rsidRPr="00230238" w:rsidRDefault="008831E1" w:rsidP="00230238">
      <w:pPr>
        <w:pStyle w:val="ListParagraph"/>
        <w:numPr>
          <w:ilvl w:val="0"/>
          <w:numId w:val="1"/>
        </w:numPr>
        <w:rPr>
          <w:rFonts w:ascii="Avenir Book" w:hAnsi="Avenir Book"/>
        </w:rPr>
      </w:pPr>
      <w:r w:rsidRPr="00230238">
        <w:rPr>
          <w:rFonts w:ascii="Avenir Book" w:hAnsi="Avenir Book"/>
        </w:rPr>
        <w:t xml:space="preserve">Asking students to write answers on their papers </w:t>
      </w:r>
    </w:p>
    <w:p w14:paraId="50788106" w14:textId="77777777" w:rsidR="00230238" w:rsidRDefault="00230238" w:rsidP="00230238">
      <w:pPr>
        <w:pStyle w:val="ListParagraph"/>
        <w:numPr>
          <w:ilvl w:val="0"/>
          <w:numId w:val="1"/>
        </w:numPr>
        <w:rPr>
          <w:rFonts w:ascii="Avenir Book" w:hAnsi="Avenir Book"/>
        </w:rPr>
      </w:pPr>
      <w:r>
        <w:rPr>
          <w:rFonts w:ascii="Avenir Book" w:hAnsi="Avenir Book"/>
        </w:rPr>
        <w:t>C</w:t>
      </w:r>
      <w:r w:rsidR="008831E1" w:rsidRPr="00230238">
        <w:rPr>
          <w:rFonts w:ascii="Avenir Book" w:hAnsi="Avenir Book"/>
        </w:rPr>
        <w:t xml:space="preserve">alling on one </w:t>
      </w:r>
      <w:r>
        <w:rPr>
          <w:rFonts w:ascii="Avenir Book" w:hAnsi="Avenir Book"/>
        </w:rPr>
        <w:t>volunteer to answer a question</w:t>
      </w:r>
    </w:p>
    <w:p w14:paraId="39FA9693" w14:textId="77777777" w:rsidR="00230238" w:rsidRDefault="008831E1" w:rsidP="00230238">
      <w:pPr>
        <w:pStyle w:val="ListParagraph"/>
        <w:numPr>
          <w:ilvl w:val="0"/>
          <w:numId w:val="1"/>
        </w:numPr>
        <w:rPr>
          <w:rFonts w:ascii="Avenir Book" w:hAnsi="Avenir Book"/>
        </w:rPr>
      </w:pPr>
      <w:r w:rsidRPr="00230238">
        <w:rPr>
          <w:rFonts w:ascii="Avenir Book" w:hAnsi="Avenir Book"/>
        </w:rPr>
        <w:t xml:space="preserve">Asking them to </w:t>
      </w:r>
      <w:r w:rsidR="00230238">
        <w:rPr>
          <w:rFonts w:ascii="Avenir Book" w:hAnsi="Avenir Book"/>
        </w:rPr>
        <w:t>show an answer on their fingers</w:t>
      </w:r>
    </w:p>
    <w:p w14:paraId="5D6F659C" w14:textId="77777777" w:rsidR="00230238" w:rsidRPr="00230238" w:rsidRDefault="00230238" w:rsidP="00230238">
      <w:pPr>
        <w:rPr>
          <w:rFonts w:ascii="Avenir Book" w:hAnsi="Avenir Book"/>
        </w:rPr>
      </w:pPr>
    </w:p>
    <w:p w14:paraId="1599F435" w14:textId="1F793449" w:rsidR="008831E1" w:rsidRPr="00230238" w:rsidRDefault="00230238" w:rsidP="00230238">
      <w:pPr>
        <w:rPr>
          <w:rFonts w:ascii="Avenir Book" w:hAnsi="Avenir Book"/>
        </w:rPr>
      </w:pPr>
      <w:r>
        <w:rPr>
          <w:rFonts w:ascii="Avenir Book" w:hAnsi="Avenir Book"/>
        </w:rPr>
        <w:t xml:space="preserve">Use the table on the next page to enter you thoughts.  </w:t>
      </w:r>
      <w:r w:rsidR="008831E1" w:rsidRPr="00230238">
        <w:rPr>
          <w:rFonts w:ascii="Avenir Book" w:hAnsi="Avenir Book"/>
        </w:rPr>
        <w:t xml:space="preserve">Because each </w:t>
      </w:r>
      <w:r w:rsidR="006931B4">
        <w:rPr>
          <w:rFonts w:ascii="Avenir Book" w:hAnsi="Avenir Book"/>
        </w:rPr>
        <w:t xml:space="preserve">mode of response has different </w:t>
      </w:r>
      <w:r w:rsidR="008831E1" w:rsidRPr="00230238">
        <w:rPr>
          <w:rFonts w:ascii="Avenir Book" w:hAnsi="Avenir Book"/>
        </w:rPr>
        <w:t xml:space="preserve">benefits, it is important to vary the mode of response.  </w:t>
      </w:r>
    </w:p>
    <w:p w14:paraId="4E3A4342" w14:textId="77777777" w:rsidR="008831E1" w:rsidRPr="008831E1" w:rsidRDefault="008831E1" w:rsidP="008831E1">
      <w:pPr>
        <w:rPr>
          <w:rFonts w:ascii="Avenir Book" w:hAnsi="Avenir Book"/>
        </w:rPr>
      </w:pPr>
    </w:p>
    <w:p w14:paraId="2C33290C" w14:textId="07BAE19A" w:rsidR="008831E1" w:rsidRPr="008831E1" w:rsidRDefault="008831E1" w:rsidP="008831E1">
      <w:pPr>
        <w:rPr>
          <w:rFonts w:ascii="Avenir Book" w:hAnsi="Avenir Book"/>
        </w:rPr>
      </w:pPr>
      <w:r w:rsidRPr="008831E1">
        <w:rPr>
          <w:rFonts w:ascii="Avenir Book" w:hAnsi="Avenir Book"/>
        </w:rPr>
        <w:t>It is convenient to establis</w:t>
      </w:r>
      <w:r>
        <w:rPr>
          <w:rFonts w:ascii="Avenir Book" w:hAnsi="Avenir Book"/>
        </w:rPr>
        <w:t xml:space="preserve">h an implied mode of response.  That is, </w:t>
      </w:r>
      <w:r w:rsidRPr="008831E1">
        <w:rPr>
          <w:rFonts w:ascii="Avenir Book" w:hAnsi="Avenir Book"/>
        </w:rPr>
        <w:t>if you normally expect students to raise their hands, it is nice not to have to preface each question with that mode of response.  This can be accomplished by asking your questions wi</w:t>
      </w:r>
      <w:r>
        <w:rPr>
          <w:rFonts w:ascii="Avenir Book" w:hAnsi="Avenir Book"/>
        </w:rPr>
        <w:t>th your hand raised</w:t>
      </w:r>
      <w:r w:rsidR="00E774E2">
        <w:rPr>
          <w:rFonts w:ascii="Avenir Book" w:hAnsi="Avenir Book"/>
        </w:rPr>
        <w:t>,</w:t>
      </w:r>
      <w:r>
        <w:rPr>
          <w:rFonts w:ascii="Avenir Book" w:hAnsi="Avenir Book"/>
        </w:rPr>
        <w:t xml:space="preserve"> and then positively reinforc</w:t>
      </w:r>
      <w:r w:rsidRPr="008831E1">
        <w:rPr>
          <w:rFonts w:ascii="Avenir Book" w:hAnsi="Avenir Book"/>
        </w:rPr>
        <w:t>ing</w:t>
      </w:r>
      <w:r w:rsidR="00E774E2">
        <w:rPr>
          <w:rFonts w:ascii="Avenir Book" w:hAnsi="Avenir Book"/>
        </w:rPr>
        <w:t xml:space="preserve"> </w:t>
      </w:r>
      <w:r w:rsidRPr="008831E1">
        <w:rPr>
          <w:rFonts w:ascii="Avenir Book" w:hAnsi="Avenir Book"/>
        </w:rPr>
        <w:t>the students that raise their hands</w:t>
      </w:r>
      <w:r w:rsidR="009D4E69">
        <w:rPr>
          <w:rFonts w:ascii="Avenir Book" w:hAnsi="Avenir Book"/>
        </w:rPr>
        <w:t xml:space="preserve"> by saying something like the following for the students that have their hands up. </w:t>
      </w:r>
      <w:r w:rsidR="009B12AA">
        <w:rPr>
          <w:rFonts w:ascii="Avenir Book" w:hAnsi="Avenir Book"/>
        </w:rPr>
        <w:t xml:space="preserve"> “</w:t>
      </w:r>
      <w:r w:rsidR="009D4E69">
        <w:rPr>
          <w:rFonts w:ascii="Avenir Book" w:hAnsi="Avenir Book"/>
        </w:rPr>
        <w:t xml:space="preserve">Thank you for your quiet hands. </w:t>
      </w:r>
      <w:r w:rsidR="006931B4">
        <w:rPr>
          <w:rFonts w:ascii="Avenir Book" w:hAnsi="Avenir Book"/>
        </w:rPr>
        <w:t>I have a quiet hand from Mary</w:t>
      </w:r>
      <w:r w:rsidR="009B12AA">
        <w:rPr>
          <w:rFonts w:ascii="Avenir Book" w:hAnsi="Avenir Book"/>
        </w:rPr>
        <w:t xml:space="preserve">, and one from </w:t>
      </w:r>
      <w:r w:rsidR="006931B4">
        <w:rPr>
          <w:rFonts w:ascii="Avenir Book" w:hAnsi="Avenir Book"/>
        </w:rPr>
        <w:t>Angela</w:t>
      </w:r>
      <w:r w:rsidR="009D4E69">
        <w:rPr>
          <w:rFonts w:ascii="Avenir Book" w:hAnsi="Avenir Book"/>
        </w:rPr>
        <w:t>, and one fr</w:t>
      </w:r>
      <w:r w:rsidR="006931B4">
        <w:rPr>
          <w:rFonts w:ascii="Avenir Book" w:hAnsi="Avenir Book"/>
        </w:rPr>
        <w:t>om Sam, and another from Amy, and one from Chaya</w:t>
      </w:r>
      <w:r w:rsidRPr="008831E1">
        <w:rPr>
          <w:rFonts w:ascii="Avenir Book" w:hAnsi="Avenir Book"/>
        </w:rPr>
        <w:t>.</w:t>
      </w:r>
      <w:r w:rsidR="009D4E69">
        <w:rPr>
          <w:rFonts w:ascii="Avenir Book" w:hAnsi="Avenir Book"/>
        </w:rPr>
        <w:t>”</w:t>
      </w:r>
      <w:r w:rsidRPr="008831E1">
        <w:rPr>
          <w:rFonts w:ascii="Avenir Book" w:hAnsi="Avenir Book"/>
        </w:rPr>
        <w:t xml:space="preserve">  After a few times it will not be necessary to raise your hand</w:t>
      </w:r>
      <w:r w:rsidR="009D4E69">
        <w:rPr>
          <w:rFonts w:ascii="Avenir Book" w:hAnsi="Avenir Book"/>
        </w:rPr>
        <w:t xml:space="preserve"> as the teacher, because the kids will realize that is the default mode of response</w:t>
      </w:r>
      <w:r w:rsidRPr="008831E1">
        <w:rPr>
          <w:rFonts w:ascii="Avenir Book" w:hAnsi="Avenir Book"/>
        </w:rPr>
        <w:t>.  It will then only be necessary to specify the mode of response when it is different from the one usually used.  [It wi</w:t>
      </w:r>
      <w:r w:rsidR="00E774E2">
        <w:rPr>
          <w:rFonts w:ascii="Avenir Book" w:hAnsi="Avenir Book"/>
        </w:rPr>
        <w:t>ll be necessary to periodically recognize or thank students with quiet hands</w:t>
      </w:r>
      <w:r w:rsidRPr="008831E1">
        <w:rPr>
          <w:rFonts w:ascii="Avenir Book" w:hAnsi="Avenir Book"/>
        </w:rPr>
        <w:t xml:space="preserve"> </w:t>
      </w:r>
      <w:r w:rsidR="00E774E2">
        <w:rPr>
          <w:rFonts w:ascii="Avenir Book" w:hAnsi="Avenir Book"/>
        </w:rPr>
        <w:t xml:space="preserve">raised </w:t>
      </w:r>
      <w:r w:rsidRPr="008831E1">
        <w:rPr>
          <w:rFonts w:ascii="Avenir Book" w:hAnsi="Avenir Book"/>
        </w:rPr>
        <w:t>to keep this behavior once it is learned.]</w:t>
      </w:r>
    </w:p>
    <w:p w14:paraId="41BA84AE" w14:textId="77777777" w:rsidR="008831E1" w:rsidRPr="008831E1" w:rsidRDefault="008831E1" w:rsidP="008831E1">
      <w:pPr>
        <w:rPr>
          <w:rFonts w:ascii="Avenir Book" w:hAnsi="Avenir Book"/>
        </w:rPr>
      </w:pPr>
    </w:p>
    <w:p w14:paraId="2B80E074" w14:textId="31669EEC" w:rsidR="008831E1" w:rsidRPr="008831E1" w:rsidRDefault="008831E1" w:rsidP="008831E1">
      <w:pPr>
        <w:rPr>
          <w:rFonts w:ascii="Avenir Book" w:hAnsi="Avenir Book"/>
        </w:rPr>
      </w:pPr>
      <w:r>
        <w:rPr>
          <w:rFonts w:ascii="Avenir Book" w:hAnsi="Avenir Book"/>
        </w:rPr>
        <w:t xml:space="preserve">MANAGE THE DISCOURSE: </w:t>
      </w:r>
      <w:r w:rsidR="00230238">
        <w:rPr>
          <w:rFonts w:ascii="Avenir Book" w:hAnsi="Avenir Book"/>
        </w:rPr>
        <w:t>If you forget to specify a mode of response before asking a question, you are likely to ha</w:t>
      </w:r>
      <w:r w:rsidR="006931B4">
        <w:rPr>
          <w:rFonts w:ascii="Avenir Book" w:hAnsi="Avenir Book"/>
        </w:rPr>
        <w:t>ve a student or two call-</w:t>
      </w:r>
      <w:r w:rsidR="00B808B8">
        <w:rPr>
          <w:rFonts w:ascii="Avenir Book" w:hAnsi="Avenir Book"/>
        </w:rPr>
        <w:t>out</w:t>
      </w:r>
      <w:r w:rsidR="00230238">
        <w:rPr>
          <w:rFonts w:ascii="Avenir Book" w:hAnsi="Avenir Book"/>
        </w:rPr>
        <w:t xml:space="preserve"> answer</w:t>
      </w:r>
      <w:r w:rsidR="00B808B8">
        <w:rPr>
          <w:rFonts w:ascii="Avenir Book" w:hAnsi="Avenir Book"/>
        </w:rPr>
        <w:t>s</w:t>
      </w:r>
      <w:r w:rsidR="00230238">
        <w:rPr>
          <w:rFonts w:ascii="Avenir Book" w:hAnsi="Avenir Book"/>
        </w:rPr>
        <w:t xml:space="preserve">.  </w:t>
      </w:r>
      <w:r w:rsidRPr="008831E1">
        <w:rPr>
          <w:rFonts w:ascii="Avenir Book" w:hAnsi="Avenir Book"/>
        </w:rPr>
        <w:t>When a teacher allows the students to call out answers at the whim of the student, the teacher loses the ability to control the time students are allowed to think about the question.  This usually results in a few students shouting out the answers while the others, knowing that they will not get it as quickly as the few, will not even engage in thought about the question.  The teacher must be able to control the "wait time"</w:t>
      </w:r>
      <w:r>
        <w:rPr>
          <w:rFonts w:ascii="Avenir Book" w:hAnsi="Avenir Book"/>
        </w:rPr>
        <w:t xml:space="preserve"> or “think time”</w:t>
      </w:r>
      <w:r w:rsidRPr="008831E1">
        <w:rPr>
          <w:rFonts w:ascii="Avenir Book" w:hAnsi="Avenir Book"/>
        </w:rPr>
        <w:t xml:space="preserve"> if all students are to remain active participants in the learning process.  </w:t>
      </w:r>
    </w:p>
    <w:p w14:paraId="0A2F826F" w14:textId="77777777" w:rsidR="00E774E2" w:rsidRDefault="00E774E2">
      <w:r>
        <w:br w:type="page"/>
      </w:r>
    </w:p>
    <w:p w14:paraId="5BAB89F4" w14:textId="77777777" w:rsidR="0008278D" w:rsidRDefault="00D57533">
      <w:r>
        <w:lastRenderedPageBreak/>
        <w:t>Examples</w:t>
      </w:r>
      <w:r w:rsidR="00E774E2">
        <w:t xml:space="preserve"> of Modes of Response:</w:t>
      </w:r>
    </w:p>
    <w:tbl>
      <w:tblPr>
        <w:tblStyle w:val="TableGrid"/>
        <w:tblW w:w="0" w:type="auto"/>
        <w:tblLook w:val="04A0" w:firstRow="1" w:lastRow="0" w:firstColumn="1" w:lastColumn="0" w:noHBand="0" w:noVBand="1"/>
      </w:tblPr>
      <w:tblGrid>
        <w:gridCol w:w="3888"/>
        <w:gridCol w:w="6300"/>
      </w:tblGrid>
      <w:tr w:rsidR="00E774E2" w14:paraId="73F83F16" w14:textId="77777777" w:rsidTr="00230238">
        <w:tc>
          <w:tcPr>
            <w:tcW w:w="3888" w:type="dxa"/>
          </w:tcPr>
          <w:p w14:paraId="5ED8473B" w14:textId="77777777" w:rsidR="00E774E2" w:rsidRDefault="00E774E2"/>
          <w:p w14:paraId="2A318A5C" w14:textId="77777777" w:rsidR="00E774E2" w:rsidRDefault="00D57533">
            <w:r>
              <w:t>Mode of Response</w:t>
            </w:r>
          </w:p>
          <w:p w14:paraId="4995C2CA" w14:textId="77777777" w:rsidR="00E774E2" w:rsidRDefault="00E774E2"/>
        </w:tc>
        <w:tc>
          <w:tcPr>
            <w:tcW w:w="6300" w:type="dxa"/>
          </w:tcPr>
          <w:p w14:paraId="115E9148" w14:textId="53540960" w:rsidR="00E774E2" w:rsidRDefault="00230238" w:rsidP="006931B4">
            <w:proofErr w:type="gramStart"/>
            <w:r>
              <w:t>Description of how i</w:t>
            </w:r>
            <w:r w:rsidR="00B808B8">
              <w:t xml:space="preserve">t could be used to increase the number of students </w:t>
            </w:r>
            <w:r w:rsidR="006931B4">
              <w:rPr>
                <w:b/>
              </w:rPr>
              <w:t>engaged</w:t>
            </w:r>
            <w:r>
              <w:t xml:space="preserve">, </w:t>
            </w:r>
            <w:r w:rsidR="00B808B8">
              <w:t>or get</w:t>
            </w:r>
            <w:proofErr w:type="gramEnd"/>
            <w:r w:rsidR="00B808B8">
              <w:t xml:space="preserve"> </w:t>
            </w:r>
            <w:r w:rsidR="00B808B8" w:rsidRPr="00B808B8">
              <w:rPr>
                <w:b/>
              </w:rPr>
              <w:t>f</w:t>
            </w:r>
            <w:r w:rsidR="006931B4">
              <w:rPr>
                <w:b/>
              </w:rPr>
              <w:t>ormative f</w:t>
            </w:r>
            <w:r w:rsidRPr="00B808B8">
              <w:rPr>
                <w:b/>
              </w:rPr>
              <w:t>eedback</w:t>
            </w:r>
            <w:r w:rsidR="00B808B8" w:rsidRPr="00B808B8">
              <w:rPr>
                <w:b/>
              </w:rPr>
              <w:t xml:space="preserve"> </w:t>
            </w:r>
            <w:r w:rsidR="00B808B8">
              <w:t xml:space="preserve">about how students are processing or thinking, or </w:t>
            </w:r>
            <w:r w:rsidR="00B808B8" w:rsidRPr="00B808B8">
              <w:rPr>
                <w:b/>
              </w:rPr>
              <w:t>f</w:t>
            </w:r>
            <w:r w:rsidR="006931B4">
              <w:rPr>
                <w:b/>
              </w:rPr>
              <w:t>or some other purposes</w:t>
            </w:r>
            <w:r w:rsidR="006931B4">
              <w:t xml:space="preserve">. </w:t>
            </w:r>
          </w:p>
        </w:tc>
      </w:tr>
      <w:tr w:rsidR="00B808B8" w14:paraId="279E939A" w14:textId="77777777" w:rsidTr="00A85BFF">
        <w:trPr>
          <w:trHeight w:val="1940"/>
        </w:trPr>
        <w:tc>
          <w:tcPr>
            <w:tcW w:w="3888" w:type="dxa"/>
          </w:tcPr>
          <w:p w14:paraId="15991738" w14:textId="77777777" w:rsidR="00B808B8" w:rsidRDefault="00B808B8"/>
          <w:p w14:paraId="2D1C8C4C" w14:textId="77777777" w:rsidR="00B808B8" w:rsidRDefault="00B808B8"/>
          <w:p w14:paraId="3B3F07FE" w14:textId="77777777" w:rsidR="00B808B8" w:rsidRDefault="00B808B8"/>
          <w:p w14:paraId="37C99E31" w14:textId="77777777" w:rsidR="00B808B8" w:rsidRDefault="00B808B8"/>
          <w:p w14:paraId="4CC69EC2" w14:textId="77777777" w:rsidR="00B808B8" w:rsidRDefault="00B808B8"/>
          <w:p w14:paraId="7AC553F6" w14:textId="77777777" w:rsidR="00B808B8" w:rsidRDefault="00B808B8"/>
          <w:p w14:paraId="7C226094" w14:textId="77777777" w:rsidR="00B808B8" w:rsidRDefault="00B808B8" w:rsidP="009138C6"/>
        </w:tc>
        <w:tc>
          <w:tcPr>
            <w:tcW w:w="6300" w:type="dxa"/>
          </w:tcPr>
          <w:p w14:paraId="4DE00EA4" w14:textId="77777777" w:rsidR="00B808B8" w:rsidRDefault="00B808B8"/>
        </w:tc>
      </w:tr>
      <w:tr w:rsidR="00B808B8" w14:paraId="23DAD10B" w14:textId="77777777" w:rsidTr="00A54365">
        <w:trPr>
          <w:trHeight w:val="1940"/>
        </w:trPr>
        <w:tc>
          <w:tcPr>
            <w:tcW w:w="3888" w:type="dxa"/>
          </w:tcPr>
          <w:p w14:paraId="3238F891" w14:textId="77777777" w:rsidR="00B808B8" w:rsidRDefault="00B808B8"/>
          <w:p w14:paraId="4EA4B355" w14:textId="77777777" w:rsidR="00B808B8" w:rsidRDefault="00B808B8"/>
          <w:p w14:paraId="1F80A9DC" w14:textId="77777777" w:rsidR="00B808B8" w:rsidRDefault="00B808B8"/>
          <w:p w14:paraId="29150729" w14:textId="77777777" w:rsidR="00B808B8" w:rsidRDefault="00B808B8"/>
          <w:p w14:paraId="26C069E4" w14:textId="77777777" w:rsidR="00B808B8" w:rsidRDefault="00B808B8"/>
          <w:p w14:paraId="3EAB2852" w14:textId="77777777" w:rsidR="00B808B8" w:rsidRDefault="00B808B8"/>
          <w:p w14:paraId="26011891" w14:textId="77777777" w:rsidR="00B808B8" w:rsidRDefault="00B808B8" w:rsidP="00FF6F22"/>
        </w:tc>
        <w:tc>
          <w:tcPr>
            <w:tcW w:w="6300" w:type="dxa"/>
          </w:tcPr>
          <w:p w14:paraId="13183CA2" w14:textId="77777777" w:rsidR="00B808B8" w:rsidRDefault="00B808B8"/>
        </w:tc>
      </w:tr>
      <w:tr w:rsidR="00B808B8" w14:paraId="02348FBB" w14:textId="77777777" w:rsidTr="00937312">
        <w:trPr>
          <w:trHeight w:val="1940"/>
        </w:trPr>
        <w:tc>
          <w:tcPr>
            <w:tcW w:w="3888" w:type="dxa"/>
          </w:tcPr>
          <w:p w14:paraId="59DAD62B" w14:textId="77777777" w:rsidR="00B808B8" w:rsidRDefault="00B808B8"/>
          <w:p w14:paraId="3B57263C" w14:textId="77777777" w:rsidR="00B808B8" w:rsidRDefault="00B808B8"/>
          <w:p w14:paraId="196293E1" w14:textId="77777777" w:rsidR="00B808B8" w:rsidRDefault="00B808B8"/>
          <w:p w14:paraId="508F5AB8" w14:textId="77777777" w:rsidR="00B808B8" w:rsidRDefault="00B808B8"/>
          <w:p w14:paraId="269820A2" w14:textId="77777777" w:rsidR="00B808B8" w:rsidRDefault="00B808B8"/>
          <w:p w14:paraId="3528ADE2" w14:textId="77777777" w:rsidR="00B808B8" w:rsidRDefault="00B808B8"/>
          <w:p w14:paraId="75CFEE89" w14:textId="77777777" w:rsidR="00B808B8" w:rsidRDefault="00B808B8" w:rsidP="003B3DC2"/>
        </w:tc>
        <w:tc>
          <w:tcPr>
            <w:tcW w:w="6300" w:type="dxa"/>
          </w:tcPr>
          <w:p w14:paraId="44FEE8C4" w14:textId="77777777" w:rsidR="00B808B8" w:rsidRDefault="00B808B8"/>
        </w:tc>
      </w:tr>
      <w:tr w:rsidR="00B808B8" w14:paraId="18A7C606" w14:textId="77777777" w:rsidTr="00B94EC1">
        <w:trPr>
          <w:trHeight w:val="1940"/>
        </w:trPr>
        <w:tc>
          <w:tcPr>
            <w:tcW w:w="3888" w:type="dxa"/>
          </w:tcPr>
          <w:p w14:paraId="6F73D384" w14:textId="77777777" w:rsidR="00B808B8" w:rsidRDefault="00B808B8"/>
          <w:p w14:paraId="498660FE" w14:textId="77777777" w:rsidR="00B808B8" w:rsidRDefault="00B808B8"/>
          <w:p w14:paraId="4343DBCC" w14:textId="77777777" w:rsidR="00B808B8" w:rsidRDefault="00B808B8"/>
          <w:p w14:paraId="2009064B" w14:textId="77777777" w:rsidR="00B808B8" w:rsidRDefault="00B808B8"/>
          <w:p w14:paraId="154340AB" w14:textId="77777777" w:rsidR="00B808B8" w:rsidRDefault="00B808B8"/>
          <w:p w14:paraId="5014964B" w14:textId="77777777" w:rsidR="00B808B8" w:rsidRDefault="00B808B8"/>
          <w:p w14:paraId="1D53EDB0" w14:textId="77777777" w:rsidR="00B808B8" w:rsidRDefault="00B808B8" w:rsidP="002347C7"/>
        </w:tc>
        <w:tc>
          <w:tcPr>
            <w:tcW w:w="6300" w:type="dxa"/>
          </w:tcPr>
          <w:p w14:paraId="37D244D7" w14:textId="77777777" w:rsidR="00B808B8" w:rsidRDefault="00B808B8"/>
        </w:tc>
      </w:tr>
      <w:tr w:rsidR="00230238" w14:paraId="2B47EA95" w14:textId="77777777" w:rsidTr="00B808B8">
        <w:trPr>
          <w:trHeight w:val="1772"/>
        </w:trPr>
        <w:tc>
          <w:tcPr>
            <w:tcW w:w="3888" w:type="dxa"/>
          </w:tcPr>
          <w:p w14:paraId="391A73EB" w14:textId="77777777" w:rsidR="00230238" w:rsidRDefault="00230238"/>
          <w:p w14:paraId="46DDDD3B" w14:textId="77777777" w:rsidR="00230238" w:rsidRDefault="00230238"/>
          <w:p w14:paraId="487CF8A0" w14:textId="77777777" w:rsidR="00230238" w:rsidRDefault="00230238"/>
          <w:p w14:paraId="7D5AE3F1" w14:textId="77777777" w:rsidR="00230238" w:rsidRDefault="00230238"/>
        </w:tc>
        <w:tc>
          <w:tcPr>
            <w:tcW w:w="6300" w:type="dxa"/>
          </w:tcPr>
          <w:p w14:paraId="22E7A23E" w14:textId="77777777" w:rsidR="00230238" w:rsidRDefault="00230238"/>
        </w:tc>
      </w:tr>
      <w:tr w:rsidR="00230238" w14:paraId="21868FD3" w14:textId="77777777" w:rsidTr="00B808B8">
        <w:trPr>
          <w:trHeight w:val="2150"/>
        </w:trPr>
        <w:tc>
          <w:tcPr>
            <w:tcW w:w="3888" w:type="dxa"/>
          </w:tcPr>
          <w:p w14:paraId="00FF299A" w14:textId="77777777" w:rsidR="00230238" w:rsidRDefault="00230238"/>
          <w:p w14:paraId="57EBB9C2" w14:textId="77777777" w:rsidR="00230238" w:rsidRDefault="00230238"/>
          <w:p w14:paraId="094225E4" w14:textId="77777777" w:rsidR="00230238" w:rsidRDefault="00230238"/>
          <w:p w14:paraId="49B455AC" w14:textId="77777777" w:rsidR="00230238" w:rsidRDefault="00230238"/>
        </w:tc>
        <w:tc>
          <w:tcPr>
            <w:tcW w:w="6300" w:type="dxa"/>
          </w:tcPr>
          <w:p w14:paraId="26478A04" w14:textId="77777777" w:rsidR="00230238" w:rsidRDefault="00230238"/>
        </w:tc>
      </w:tr>
    </w:tbl>
    <w:p w14:paraId="4248595C" w14:textId="77777777" w:rsidR="00E774E2" w:rsidRDefault="00E774E2"/>
    <w:sectPr w:rsidR="00E774E2" w:rsidSect="00230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2A14"/>
    <w:multiLevelType w:val="hybridMultilevel"/>
    <w:tmpl w:val="4A96E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E1"/>
    <w:rsid w:val="0008278D"/>
    <w:rsid w:val="00222BB0"/>
    <w:rsid w:val="00230238"/>
    <w:rsid w:val="006931B4"/>
    <w:rsid w:val="008831E1"/>
    <w:rsid w:val="00937768"/>
    <w:rsid w:val="009B12AA"/>
    <w:rsid w:val="009D4E69"/>
    <w:rsid w:val="00B808B8"/>
    <w:rsid w:val="00C22E36"/>
    <w:rsid w:val="00D43A92"/>
    <w:rsid w:val="00D57533"/>
    <w:rsid w:val="00E774E2"/>
    <w:rsid w:val="00FC1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ED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E1"/>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E1"/>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Mathematics Project at Sacramento State</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Stetson</dc:creator>
  <cp:lastModifiedBy>EGUSD</cp:lastModifiedBy>
  <cp:revision>2</cp:revision>
  <cp:lastPrinted>2014-10-23T05:32:00Z</cp:lastPrinted>
  <dcterms:created xsi:type="dcterms:W3CDTF">2016-09-12T21:09:00Z</dcterms:created>
  <dcterms:modified xsi:type="dcterms:W3CDTF">2016-09-12T21:09:00Z</dcterms:modified>
</cp:coreProperties>
</file>